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left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lang w:eastAsia="ru-RU"/>
        </w:rPr>
        <w:t>Додаток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lang w:eastAsia="ru-RU"/>
        </w:rPr>
        <w:t>до розпорядження голови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lang w:eastAsia="ru-RU"/>
        </w:rPr>
        <w:t>Рівненської районної державної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lang w:eastAsia="ru-RU"/>
        </w:rPr>
        <w:t xml:space="preserve">адміністрації – начальника 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lang w:eastAsia="ru-RU"/>
        </w:rPr>
        <w:t xml:space="preserve">Рівненської районної військової </w:t>
      </w:r>
    </w:p>
    <w:p>
      <w:pPr>
        <w:pStyle w:val="Normal"/>
        <w:rPr/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lang w:eastAsia="ru-RU"/>
        </w:rPr>
        <w:t>адміністрації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lang w:eastAsia="ru-RU"/>
        </w:rPr>
        <w:t>від 30 грудня 2025 №325</w:t>
      </w:r>
    </w:p>
    <w:p>
      <w:pPr>
        <w:pStyle w:val="Heading3"/>
        <w:ind w:hanging="0" w:left="0"/>
        <w:rPr>
          <w:b/>
          <w:szCs w:val="28"/>
        </w:rPr>
      </w:pPr>
      <w:r>
        <w:rPr>
          <w:b/>
          <w:szCs w:val="28"/>
        </w:rPr>
        <w:t>ПЛАН ЗАХОДІВ</w:t>
      </w:r>
    </w:p>
    <w:p>
      <w:pPr>
        <w:pStyle w:val="Normal"/>
        <w:jc w:val="center"/>
        <w:rPr>
          <w:b/>
          <w:lang w:eastAsia="ru-RU"/>
        </w:rPr>
      </w:pPr>
      <w:r>
        <w:rPr>
          <w:b/>
          <w:lang w:eastAsia="ru-RU"/>
        </w:rPr>
        <w:t xml:space="preserve">Рівненської районної державної адміністрації </w:t>
      </w:r>
    </w:p>
    <w:p>
      <w:pPr>
        <w:pStyle w:val="Normal"/>
        <w:jc w:val="center"/>
        <w:rPr>
          <w:b/>
          <w:lang w:eastAsia="ru-RU"/>
        </w:rPr>
      </w:pPr>
      <w:r>
        <w:rPr>
          <w:b/>
          <w:lang w:eastAsia="ru-RU"/>
        </w:rPr>
        <w:t xml:space="preserve"> </w:t>
      </w:r>
      <w:r>
        <w:rPr>
          <w:b/>
          <w:lang w:eastAsia="ru-RU"/>
        </w:rPr>
        <w:t xml:space="preserve">із запобігання та виявлення корупції </w:t>
      </w:r>
    </w:p>
    <w:p>
      <w:pPr>
        <w:pStyle w:val="Normal"/>
        <w:jc w:val="center"/>
        <w:rPr>
          <w:b/>
          <w:lang w:eastAsia="ru-RU"/>
        </w:rPr>
      </w:pPr>
      <w:r>
        <w:rPr>
          <w:b/>
          <w:lang w:eastAsia="ru-RU"/>
        </w:rPr>
        <w:t>на 2026 рік</w:t>
      </w:r>
    </w:p>
    <w:p>
      <w:pPr>
        <w:pStyle w:val="Normal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spacing w:lineRule="auto" w:line="221"/>
        <w:ind w:righ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5344" w:type="dxa"/>
        <w:jc w:val="center"/>
        <w:tblInd w:w="0" w:type="dxa"/>
        <w:tblLayout w:type="fixed"/>
        <w:tblCellMar>
          <w:top w:w="28" w:type="dxa"/>
          <w:left w:w="85" w:type="dxa"/>
          <w:bottom w:w="11" w:type="dxa"/>
          <w:right w:w="57" w:type="dxa"/>
        </w:tblCellMar>
      </w:tblPr>
      <w:tblGrid>
        <w:gridCol w:w="658"/>
        <w:gridCol w:w="6392"/>
        <w:gridCol w:w="3024"/>
        <w:gridCol w:w="5270"/>
      </w:tblGrid>
      <w:tr>
        <w:trPr>
          <w:trHeight w:val="69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>
            <w:pPr>
              <w:pStyle w:val="Normal"/>
              <w:spacing w:lineRule="auto" w:line="221"/>
              <w:ind w:left="-57" w:right="-57"/>
              <w:jc w:val="center"/>
              <w:rPr/>
            </w:pPr>
            <w:r>
              <w:rPr>
                <w:szCs w:val="28"/>
              </w:rPr>
              <w:t>п/п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left="-57" w:right="-5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Найменування заходів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21"/>
              <w:ind w:left="-57" w:right="-5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Строк виконання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Відповідальні</w:t>
            </w:r>
          </w:p>
          <w:p>
            <w:pPr>
              <w:pStyle w:val="Normal"/>
              <w:spacing w:lineRule="auto" w:line="221"/>
              <w:ind w:right="-5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 виконання</w:t>
            </w:r>
          </w:p>
        </w:tc>
      </w:tr>
      <w:tr>
        <w:trPr>
          <w:trHeight w:val="1044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1.</w:t>
            </w:r>
          </w:p>
          <w:p>
            <w:pPr>
              <w:pStyle w:val="Normal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left="-57" w:right="-38"/>
              <w:rPr>
                <w:rFonts w:eastAsia="Times New Roman"/>
                <w:szCs w:val="28"/>
                <w:lang w:eastAsia="uk-UA"/>
              </w:rPr>
            </w:pPr>
            <w:r>
              <w:rPr>
                <w:rFonts w:eastAsia="Times New Roman"/>
                <w:szCs w:val="28"/>
                <w:lang w:eastAsia="uk-UA"/>
              </w:rPr>
              <w:t xml:space="preserve">Надання методичної та консультаційної допомоги з питань дотримання вимог антикорупційного законодавства та проведення роз’яснювальної роботи із запобігання, виявлення і протидії корупції.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Cs w:val="28"/>
                <w:lang w:eastAsia="uk-UA"/>
              </w:rPr>
            </w:pPr>
            <w:r>
              <w:rPr>
                <w:rFonts w:eastAsia="Times New Roman"/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Cs w:val="28"/>
                <w:lang w:eastAsia="uk-UA"/>
              </w:rPr>
            </w:pPr>
            <w:r>
              <w:rPr>
                <w:rFonts w:eastAsia="Times New Roman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</w:t>
            </w:r>
          </w:p>
        </w:tc>
      </w:tr>
      <w:tr>
        <w:trPr>
          <w:trHeight w:val="1395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2.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left="-57" w:right="-38"/>
              <w:rPr/>
            </w:pPr>
            <w:r>
              <w:rPr>
                <w:rFonts w:eastAsia="Times New Roman"/>
                <w:szCs w:val="28"/>
                <w:lang w:eastAsia="uk-UA"/>
              </w:rPr>
              <w:t>Перевірка факту подання декларацій суб’єктами декларування та повідомдення НАЗК про випадки неподання чи несвоєчасного подання таких декларацій згідно з Законом України «Про запобігання корупції», Положення про уповноважений підрозділ (уповноважену особу) з питань запобігання та виявлення корупції в районній державній адміністрації.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Cs w:val="28"/>
                <w:lang w:eastAsia="uk-UA"/>
              </w:rPr>
            </w:pPr>
            <w:r>
              <w:rPr>
                <w:rFonts w:eastAsia="Times New Roman"/>
                <w:szCs w:val="28"/>
                <w:lang w:eastAsia="uk-UA"/>
              </w:rPr>
              <w:t>У випадках та в строк, передбачений чинним законодавством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Cs w:val="28"/>
                <w:lang w:eastAsia="uk-UA"/>
              </w:rPr>
            </w:pPr>
            <w:r>
              <w:rPr>
                <w:rFonts w:eastAsia="Times New Roman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</w:t>
            </w:r>
          </w:p>
        </w:tc>
      </w:tr>
      <w:tr>
        <w:trPr>
          <w:trHeight w:val="670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3.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/>
              <w:ind w:left="-51" w:right="0"/>
              <w:rPr/>
            </w:pPr>
            <w:r>
              <w:rPr>
                <w:szCs w:val="28"/>
              </w:rPr>
              <w:t>Проведення щорічної інвентаризації товарно – матеріальних цінностей та проведення інвентаризації  у разі  зміни   матеріально – відповідальної особи,  відповідно до Положення про інвентаризацію активів та зобов’язань, затвердженого наказом Міністерства фінансів України від 02 вересня 2014 року № 879.</w:t>
            </w:r>
          </w:p>
          <w:p>
            <w:pPr>
              <w:pStyle w:val="Normal"/>
              <w:spacing w:lineRule="auto" w:line="216"/>
              <w:ind w:left="-51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21"/>
              <w:ind w:left="-53" w:right="0"/>
              <w:jc w:val="center"/>
              <w:rPr/>
            </w:pPr>
            <w:r>
              <w:rPr>
                <w:color w:val="000000"/>
                <w:szCs w:val="28"/>
              </w:rPr>
              <w:t>До 31 грудня,</w:t>
            </w:r>
          </w:p>
          <w:p>
            <w:pPr>
              <w:pStyle w:val="Normal"/>
              <w:spacing w:lineRule="auto" w:line="221"/>
              <w:ind w:left="-53" w:right="0"/>
              <w:jc w:val="center"/>
              <w:rPr/>
            </w:pPr>
            <w:r>
              <w:rPr>
                <w:color w:val="000000"/>
                <w:szCs w:val="28"/>
              </w:rPr>
              <w:t xml:space="preserve">у разі зміни   матеріально – відповідальної особи 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Відділ фінансово – господарського забезпечення апарату, сектор з питань запобігання та виявлення корупції і взаємодії з правоохоронними органами райдержадміністрації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</w:r>
          </w:p>
        </w:tc>
      </w:tr>
      <w:tr>
        <w:trPr>
          <w:trHeight w:val="152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4.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/>
              <w:ind w:left="-51" w:right="0"/>
              <w:rPr/>
            </w:pPr>
            <w:r>
              <w:rPr>
                <w:color w:val="000000"/>
                <w:szCs w:val="28"/>
              </w:rPr>
              <w:t xml:space="preserve">Використання процедури добору працівників в порядку, передбаченому частинами 5, 7 статті 10 Закону України «Про правовий режим воєнного стану».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21"/>
              <w:ind w:left="-53" w:right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Протягом року, у випадках та в строк, передбачений чинним законодавством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 xml:space="preserve">Відділ управління персоналом апарату, керівники структурних підрозділів райдержадміністрації </w:t>
            </w:r>
          </w:p>
        </w:tc>
      </w:tr>
      <w:tr>
        <w:trPr>
          <w:trHeight w:val="1624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5.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/>
              <w:ind w:left="-51" w:right="0"/>
              <w:rPr/>
            </w:pPr>
            <w:r>
              <w:rPr>
                <w:color w:val="000000"/>
                <w:szCs w:val="28"/>
              </w:rPr>
              <w:t>Забезпечення проведення спеціальної перевірки відомостей щодо осіб, які претендують на зайняття посад в районній державній адміністрації, відповідно до вимог статей  56 – 58  Закону України «Про запобігання корупції».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21"/>
              <w:ind w:left="-53" w:right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Протягом року, у випадках та в строк, передбачений чинним законодавством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Відділ управління персоналом апарату, керівники структурних підрозділів райдержадміністрації</w:t>
            </w:r>
          </w:p>
        </w:tc>
      </w:tr>
      <w:tr>
        <w:trPr>
          <w:trHeight w:val="1899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6.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/>
            </w:pPr>
            <w:r>
              <w:rPr>
                <w:bCs/>
                <w:szCs w:val="28"/>
              </w:rPr>
              <w:t>Забезпечення проведення навчань (тренінгів) з питань управління корупційними ризиками для державних службовців категорії «Б», методології управління корупційними ризиками, способів ідентифікації ризиків, аналізу та визначення заходів впливу.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</w:t>
            </w:r>
          </w:p>
        </w:tc>
      </w:tr>
      <w:tr>
        <w:trPr>
          <w:trHeight w:val="1144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Створення ефективних механізмів запобігання, виявлення та врегулювання конфлікту інтересів.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</w:t>
            </w:r>
          </w:p>
        </w:tc>
      </w:tr>
      <w:tr>
        <w:trPr>
          <w:trHeight w:val="107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8.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/>
              <w:ind w:left="-51" w:right="0"/>
              <w:rPr>
                <w:color w:val="000000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Аналіз та організація постійного контролю за практичною реалізацією та застосуванням законів України «Про доступ до публічної інформації», «Про звернення громадян» та інших нормативно-правових актів.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21"/>
              <w:ind w:left="-53" w:right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органами, відділи  юридичного забезпечення та доступу до публічної інформації, роботи зі зверненнями громадян апарату райдержадміністрації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</w:r>
          </w:p>
        </w:tc>
      </w:tr>
      <w:tr>
        <w:trPr>
          <w:trHeight w:val="1805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9.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Сприяння та забезпечення доступу громадськості до проєктів нормативно – правових актів райдержадміністрації.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органами,  відділ юридичного забезпечення та доступу до публічної інформації апарату райдержадміністрації</w:t>
            </w:r>
          </w:p>
        </w:tc>
      </w:tr>
      <w:tr>
        <w:trPr>
          <w:trHeight w:val="2354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10.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/>
              <w:ind w:left="-51" w:right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Забезпечення безперешкодного доступу юридичних і фізичних осіб  до наявної у районній державній адміністрації інформації про організацію та практичне виконання комплексних антикорупційних заходів у рамках законів України «Про доступ до публічної інформації», «Про звернення громадян».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21"/>
              <w:ind w:left="-53" w:right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 xml:space="preserve">Відділи роботи зі зверненнями громадян, юридичного забезпечення та доступу до публічної інформації апарату, сектор з питань запобігання та виявлення корупції і взаємодії з правоохоронними органами,структурні підрозділи райдержадміністрації  </w:t>
            </w:r>
          </w:p>
        </w:tc>
      </w:tr>
      <w:tr>
        <w:trPr>
          <w:trHeight w:val="1326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11.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Аналіз скарг і звернень фізичних та юридичних осіб до райдержадміністрації щодо порушення антикорупційного законодавства їх  посадовими особами.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</w:t>
            </w:r>
          </w:p>
        </w:tc>
      </w:tr>
      <w:tr>
        <w:trPr>
          <w:trHeight w:val="1131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12.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Аналіз та вжиття заходів щодо притягнення до дисциплінарної відповідальності осіб за порушення антикорупційного законодавства.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</w:t>
            </w:r>
          </w:p>
        </w:tc>
      </w:tr>
      <w:tr>
        <w:trPr>
          <w:trHeight w:val="224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13.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/>
            </w:pPr>
            <w:r>
              <w:rPr>
                <w:bCs/>
                <w:szCs w:val="28"/>
              </w:rPr>
              <w:t xml:space="preserve">Своєчасне інформування спеціально уповноважених суб’єктів у сфері  протидії корупції про вчинення або можливе вчинення особами, уповноваженими  на виконання функцій держави або органів місцевого самоврядування, корупційних правопорушень або  правопорушень, пов’язаних із корупцією (в разі таких випадків).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</w:t>
            </w:r>
          </w:p>
        </w:tc>
      </w:tr>
      <w:tr>
        <w:trPr>
          <w:trHeight w:val="166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Проведення інформаційної кампанії стосовно реалізації в райдержадміністрації антикорупційної політики.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органами, відділ інформаційної діяльності та комунікацій з громадськістю райдержадміністрації</w:t>
            </w:r>
          </w:p>
        </w:tc>
      </w:tr>
      <w:tr>
        <w:trPr>
          <w:trHeight w:val="166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15.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Дотримання принципів прозорості та неупередженості під час публічного висвітлення на офіційному вебсайті райдержадміністрації  суспільно важливої інформації щодо діяльності райдержадміністрації.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органами, відділ інформаційної діяльності та комунікацій з громадськістю райдержадміністрації</w:t>
            </w:r>
          </w:p>
        </w:tc>
      </w:tr>
      <w:tr>
        <w:trPr>
          <w:trHeight w:val="1781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16.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/>
            </w:pPr>
            <w:r>
              <w:rPr>
                <w:bCs/>
                <w:szCs w:val="28"/>
              </w:rPr>
              <w:t xml:space="preserve">Актуалізація інформації на офіційному вебсайті райдержадміністрації розділу «Антикорупційна діяльність».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органами, відділ інформаційної діяльності та комунікацій з громадськістю райдержадміністрації</w:t>
            </w:r>
          </w:p>
        </w:tc>
      </w:tr>
      <w:tr>
        <w:trPr>
          <w:trHeight w:val="2017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17.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/>
            </w:pPr>
            <w:r>
              <w:rPr>
                <w:bCs/>
                <w:szCs w:val="28"/>
              </w:rPr>
              <w:t>Здійснення просвітницьких заходів у сфері захисту викривачів, формування культури повідомлення про корупційні порушення, порушення, пов’язані з корупцією, порушення Закону України «Про запобігання корупції» працівниками райдержадміністрації та її структурних підрозділів.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</w:t>
            </w:r>
          </w:p>
        </w:tc>
      </w:tr>
      <w:tr>
        <w:trPr>
          <w:trHeight w:val="1709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/>
            </w:pPr>
            <w:r>
              <w:rPr>
                <w:szCs w:val="28"/>
              </w:rPr>
              <w:t>18.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1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Забезпечення дотримання вимог антикорупційного законодавства працівниками райдержадміністрації, її структурних підрозділів, юридичними особами, що належать до сфери управління райдержадміністрації.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Протягом року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Cs w:val="28"/>
                <w:lang w:eastAsia="uk-UA"/>
              </w:rPr>
            </w:pPr>
            <w:r>
              <w:rPr>
                <w:rFonts w:eastAsia="Times New Roman"/>
                <w:color w:val="000000"/>
                <w:szCs w:val="28"/>
                <w:lang w:eastAsia="uk-UA"/>
              </w:rPr>
              <w:t>Сектор з питань запобігання та виявлення корупції і взаємодії з правоохоронними органами райдержадміністрації,</w:t>
            </w:r>
            <w:r>
              <w:rPr>
                <w:rFonts w:eastAsia="Times New Roman"/>
                <w:szCs w:val="28"/>
                <w:lang w:eastAsia="uk-UA"/>
              </w:rPr>
              <w:t xml:space="preserve"> апарат, структурні підрозділи райдержадміністрації</w:t>
            </w:r>
          </w:p>
        </w:tc>
      </w:tr>
    </w:tbl>
    <w:p>
      <w:pPr>
        <w:pStyle w:val="Normal"/>
        <w:jc w:val="left"/>
        <w:rPr/>
      </w:pPr>
      <w:r>
        <w:rPr>
          <w:bCs/>
          <w:szCs w:val="28"/>
        </w:rPr>
        <w:t xml:space="preserve">В.о. завідувача сектору з питань запобігання </w:t>
      </w:r>
    </w:p>
    <w:p>
      <w:pPr>
        <w:pStyle w:val="Normal"/>
        <w:jc w:val="left"/>
        <w:rPr>
          <w:bCs/>
          <w:szCs w:val="28"/>
        </w:rPr>
      </w:pPr>
      <w:r>
        <w:rPr>
          <w:bCs/>
          <w:szCs w:val="28"/>
        </w:rPr>
        <w:t>та виявлення корупції і взаємодії з правоохоронними органами</w:t>
      </w:r>
    </w:p>
    <w:p>
      <w:pPr>
        <w:pStyle w:val="Normal"/>
        <w:jc w:val="left"/>
        <w:rPr/>
      </w:pPr>
      <w:r>
        <w:rPr>
          <w:bCs/>
          <w:szCs w:val="28"/>
        </w:rPr>
        <w:t>районної державної адміністрації                                                                                                                         Наталія ЧУРОК</w:t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gutter="0" w:header="567" w:top="1134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(обычный текст)">
    <w:altName w:val="Times New Roman"/>
    <w:charset w:val="00"/>
    <w:family w:val="roman"/>
    <w:pitch w:val="default"/>
  </w:font>
  <w:font w:name="Liberation Serif">
    <w:altName w:val="Times New Roman"/>
    <w:charset w:val="cc"/>
    <w:family w:val="roman"/>
    <w:pitch w:val="variable"/>
  </w:font>
  <w:font w:name="1251 Kudriashov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  <w:p>
    <w:pPr>
      <w:pStyle w:val="Header"/>
      <w:rPr>
        <w:sz w:val="24"/>
      </w:rPr>
    </w:pPr>
    <w:r>
      <w:rPr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Calibri" w:cs="Times New Roman"/>
      <w:color w:val="auto"/>
      <w:sz w:val="28"/>
      <w:szCs w:val="22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jc w:val="left"/>
      <w:outlineLvl w:val="1"/>
    </w:pPr>
    <w:rPr>
      <w:rFonts w:eastAsia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eastAsia="Times New Roman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eastAsia="Times New Roman" w:cs="Calibri"/>
      <w:i/>
      <w:iCs/>
      <w:sz w:val="24"/>
      <w:szCs w:val="24"/>
    </w:rPr>
  </w:style>
  <w:style w:type="character" w:styleId="WW8Num1z0">
    <w:name w:val="WW8Num1z0"/>
    <w:qFormat/>
    <w:rPr>
      <w:b/>
      <w:color w:val="000000"/>
    </w:rPr>
  </w:style>
  <w:style w:type="character" w:styleId="WW8Num3z0">
    <w:name w:val="WW8Num3z0"/>
    <w:qFormat/>
    <w:rPr>
      <w:i w:val="false"/>
    </w:rPr>
  </w:style>
  <w:style w:type="character" w:styleId="WW8Num3z1">
    <w:name w:val="WW8Num3z1"/>
    <w:qFormat/>
    <w:rPr>
      <w:b/>
      <w:i w:val="false"/>
    </w:rPr>
  </w:style>
  <w:style w:type="character" w:styleId="WW8Num4z0">
    <w:name w:val="WW8Num4z0"/>
    <w:qFormat/>
    <w:rPr>
      <w:b/>
    </w:rPr>
  </w:style>
  <w:style w:type="character" w:styleId="WW8Num6z0">
    <w:name w:val="WW8Num6z0"/>
    <w:qFormat/>
    <w:rPr>
      <w:b/>
    </w:rPr>
  </w:style>
  <w:style w:type="character" w:styleId="WW8Num7z0">
    <w:name w:val="WW8Num7z0"/>
    <w:qFormat/>
    <w:rPr>
      <w:b/>
    </w:rPr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u w:val="none"/>
    </w:rPr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>
      <w:b/>
      <w:u w:val="none"/>
    </w:rPr>
  </w:style>
  <w:style w:type="character" w:styleId="WW8Num22z0">
    <w:name w:val="WW8Num22z0"/>
    <w:qFormat/>
    <w:rPr>
      <w:rFonts w:ascii="Times New Roman" w:hAnsi="Times New Roman" w:eastAsia="Calibri" w:cs="Times New Roman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3z1">
    <w:name w:val="WW8Num23z1"/>
    <w:qFormat/>
    <w:rPr>
      <w:b/>
    </w:rPr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>
      <w:b/>
    </w:rPr>
  </w:style>
  <w:style w:type="character" w:styleId="WW8Num25z1">
    <w:name w:val="WW8Num25z1"/>
    <w:qFormat/>
    <w:rPr>
      <w:b/>
      <w:i w:val="false"/>
    </w:rPr>
  </w:style>
  <w:style w:type="character" w:styleId="WW8Num26z0">
    <w:name w:val="WW8Num26z0"/>
    <w:qFormat/>
    <w:rPr>
      <w:i w:val="false"/>
    </w:rPr>
  </w:style>
  <w:style w:type="character" w:styleId="WW8Num26z1">
    <w:name w:val="WW8Num26z1"/>
    <w:qFormat/>
    <w:rPr>
      <w:b/>
      <w:i w:val="false"/>
    </w:rPr>
  </w:style>
  <w:style w:type="character" w:styleId="WW8Num28z0">
    <w:name w:val="WW8Num28z0"/>
    <w:qFormat/>
    <w:rPr>
      <w:u w:val="none"/>
    </w:rPr>
  </w:style>
  <w:style w:type="character" w:styleId="WW8Num29z0">
    <w:name w:val="WW8Num29z0"/>
    <w:qFormat/>
    <w:rPr>
      <w:i w:val="false"/>
    </w:rPr>
  </w:style>
  <w:style w:type="character" w:styleId="WW8Num29z1">
    <w:name w:val="WW8Num29z1"/>
    <w:qFormat/>
    <w:rPr>
      <w:b/>
      <w:i w:val="false"/>
    </w:rPr>
  </w:style>
  <w:style w:type="character" w:styleId="WW8Num30z0">
    <w:name w:val="WW8Num30z0"/>
    <w:qFormat/>
    <w:rPr>
      <w:b/>
    </w:rPr>
  </w:style>
  <w:style w:type="character" w:styleId="WW8Num33z0">
    <w:name w:val="WW8Num33z0"/>
    <w:qFormat/>
    <w:rPr>
      <w:color w:val="000000"/>
    </w:rPr>
  </w:style>
  <w:style w:type="character" w:styleId="Style10">
    <w:name w:val="Основной шрифт абзаца"/>
    <w:qFormat/>
    <w:rPr/>
  </w:style>
  <w:style w:type="character" w:styleId="Style11">
    <w:name w:val="Верхний колонтитул Знак"/>
    <w:qFormat/>
    <w:rPr>
      <w:lang w:val="uk-UA"/>
    </w:rPr>
  </w:style>
  <w:style w:type="character" w:styleId="Style12">
    <w:name w:val="Нижний колонтитул Знак"/>
    <w:qFormat/>
    <w:rPr>
      <w:lang w:val="uk-UA"/>
    </w:rPr>
  </w:style>
  <w:style w:type="character" w:styleId="Style13">
    <w:name w:val="Заголовок Знак"/>
    <w:qFormat/>
    <w:rPr>
      <w:rFonts w:eastAsia="Times New Roman" w:cs="Times New Roman"/>
      <w:b/>
      <w:bCs/>
      <w:szCs w:val="28"/>
      <w:lang w:val="uk-UA"/>
    </w:rPr>
  </w:style>
  <w:style w:type="character" w:styleId="FontStyle27">
    <w:name w:val="Font Style27"/>
    <w:qFormat/>
    <w:rPr>
      <w:rFonts w:ascii="Times New Roman" w:hAnsi="Times New Roman" w:cs="Times New Roman"/>
      <w:sz w:val="22"/>
      <w:szCs w:val="22"/>
    </w:rPr>
  </w:style>
  <w:style w:type="character" w:styleId="Style14">
    <w:name w:val="Основной текст Знак"/>
    <w:qFormat/>
    <w:rPr>
      <w:rFonts w:eastAsia="Times New Roman"/>
      <w:b/>
      <w:bCs/>
      <w:sz w:val="28"/>
      <w:szCs w:val="24"/>
      <w:lang w:val="uk-UA"/>
    </w:rPr>
  </w:style>
  <w:style w:type="character" w:styleId="3">
    <w:name w:val="Заголовок 3 Знак"/>
    <w:qFormat/>
    <w:rPr>
      <w:rFonts w:eastAsia="Times New Roman"/>
      <w:sz w:val="28"/>
      <w:szCs w:val="24"/>
      <w:lang w:val="uk-UA"/>
    </w:rPr>
  </w:style>
  <w:style w:type="character" w:styleId="HTML">
    <w:name w:val="Стандартный HTML Знак"/>
    <w:qFormat/>
    <w:rPr>
      <w:rFonts w:ascii="Courier New" w:hAnsi="Courier New" w:eastAsia="Times New Roman" w:cs="Courier New"/>
      <w:color w:val="000000"/>
      <w:sz w:val="14"/>
      <w:szCs w:val="14"/>
    </w:rPr>
  </w:style>
  <w:style w:type="character" w:styleId="29">
    <w:name w:val="Основной текст (2) + 9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9"/>
      <w:szCs w:val="19"/>
      <w:u w:val="none"/>
      <w:shd w:fill="FFFFFF" w:val="clear"/>
      <w:vertAlign w:val="baseline"/>
      <w:lang w:val="uk-UA" w:bidi="uk-UA"/>
    </w:rPr>
  </w:style>
  <w:style w:type="character" w:styleId="2">
    <w:name w:val="Основной текст (2)"/>
    <w:qFormat/>
    <w:rPr>
      <w:rFonts w:ascii="Times New Roman" w:hAnsi="Times New Roman" w:cs="Times New Roman"/>
      <w:strike w:val="false"/>
      <w:dstrike w:val="false"/>
      <w:sz w:val="28"/>
      <w:szCs w:val="28"/>
      <w:u w:val="none"/>
    </w:rPr>
  </w:style>
  <w:style w:type="character" w:styleId="295pt">
    <w:name w:val="Основной текст (2) + 9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9"/>
      <w:szCs w:val="19"/>
      <w:u w:val="none"/>
      <w:shd w:fill="FFFFFF" w:val="clear"/>
      <w:vertAlign w:val="baseline"/>
      <w:lang w:val="uk-UA" w:bidi="uk-UA"/>
    </w:rPr>
  </w:style>
  <w:style w:type="character" w:styleId="rvts23">
    <w:name w:val="rvts23"/>
    <w:qFormat/>
    <w:rPr/>
  </w:style>
  <w:style w:type="character" w:styleId="21">
    <w:name w:val="Основной текст (2)_"/>
    <w:qFormat/>
    <w:rPr>
      <w:b/>
      <w:bCs/>
      <w:spacing w:val="-2"/>
      <w:sz w:val="16"/>
      <w:szCs w:val="16"/>
      <w:shd w:fill="FFFFFF" w:val="clear"/>
    </w:rPr>
  </w:style>
  <w:style w:type="character" w:styleId="rvts0">
    <w:name w:val="rvts0"/>
    <w:basedOn w:val="Style10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  <w:lang w:val="uk-UA"/>
    </w:rPr>
  </w:style>
  <w:style w:type="character" w:styleId="Style15">
    <w:name w:val="Текст Знак"/>
    <w:qFormat/>
    <w:rPr>
      <w:rFonts w:ascii="Courier New" w:hAnsi="Courier New" w:eastAsia="Times New Roman" w:cs="Courier New"/>
      <w:lang w:val="uk-UA"/>
    </w:rPr>
  </w:style>
  <w:style w:type="character" w:styleId="22">
    <w:name w:val="Основной текст 2 Знак"/>
    <w:qFormat/>
    <w:rPr>
      <w:sz w:val="28"/>
      <w:szCs w:val="22"/>
      <w:lang w:val="uk-UA"/>
    </w:rPr>
  </w:style>
  <w:style w:type="character" w:styleId="24">
    <w:name w:val="Основной текст (2)4"/>
    <w:qFormat/>
    <w:rPr>
      <w:b/>
      <w:bCs/>
      <w:sz w:val="18"/>
      <w:szCs w:val="18"/>
      <w:lang w:bidi="ar-SA"/>
    </w:rPr>
  </w:style>
  <w:style w:type="character" w:styleId="23">
    <w:name w:val="Основной текст (2) + Не полужирный"/>
    <w:qFormat/>
    <w:rPr>
      <w:b/>
      <w:bCs/>
      <w:sz w:val="18"/>
      <w:szCs w:val="18"/>
      <w:lang w:bidi="ar-SA"/>
    </w:rPr>
  </w:style>
  <w:style w:type="character" w:styleId="231">
    <w:name w:val="Основной текст (2)3"/>
    <w:qFormat/>
    <w:rPr>
      <w:rFonts w:ascii="Times New Roman" w:hAnsi="Times New Roman" w:cs="Times New Roman"/>
      <w:b/>
      <w:bCs/>
      <w:sz w:val="18"/>
      <w:szCs w:val="18"/>
      <w:u w:val="none"/>
      <w:lang w:bidi="ar-SA"/>
    </w:rPr>
  </w:style>
  <w:style w:type="character" w:styleId="2CourierNew">
    <w:name w:val="Основной текст (2) + Courier New"/>
    <w:qFormat/>
    <w:rPr>
      <w:rFonts w:ascii="Courier New" w:hAnsi="Courier New" w:cs="Courier New"/>
      <w:b/>
      <w:bCs/>
      <w:sz w:val="14"/>
      <w:szCs w:val="14"/>
      <w:u w:val="none"/>
      <w:lang w:bidi="ar-SA"/>
    </w:rPr>
  </w:style>
  <w:style w:type="character" w:styleId="Style16">
    <w:name w:val="Подпись к таблице_"/>
    <w:qFormat/>
    <w:rPr>
      <w:b/>
      <w:bCs/>
      <w:sz w:val="18"/>
      <w:szCs w:val="18"/>
      <w:shd w:fill="FFFFFF" w:val="clear"/>
    </w:rPr>
  </w:style>
  <w:style w:type="character" w:styleId="Style17">
    <w:name w:val="Подпись к таблице"/>
    <w:qFormat/>
    <w:rPr>
      <w:b/>
      <w:bCs/>
      <w:sz w:val="18"/>
      <w:szCs w:val="18"/>
      <w:u w:val="single"/>
      <w:shd w:fill="FFFFFF" w:val="clear"/>
    </w:rPr>
  </w:style>
  <w:style w:type="character" w:styleId="8">
    <w:name w:val="Заголовок 8 Знак"/>
    <w:qFormat/>
    <w:rPr>
      <w:rFonts w:ascii="Calibri" w:hAnsi="Calibri" w:eastAsia="Times New Roman" w:cs="Calibri"/>
      <w:i/>
      <w:iCs/>
      <w:sz w:val="24"/>
      <w:szCs w:val="24"/>
      <w:lang w:val="uk-UA"/>
    </w:rPr>
  </w:style>
  <w:style w:type="character" w:styleId="25">
    <w:name w:val="Заголовок 2 Знак"/>
    <w:qFormat/>
    <w:rPr>
      <w:rFonts w:eastAsia="Times New Roman"/>
      <w:b/>
      <w:bCs/>
      <w:sz w:val="36"/>
      <w:szCs w:val="36"/>
    </w:rPr>
  </w:style>
  <w:style w:type="character" w:styleId="Style18">
    <w:name w:val="Схема документа Знак"/>
    <w:qFormat/>
    <w:rPr>
      <w:rFonts w:ascii="Tahoma" w:hAnsi="Tahoma" w:cs="Tahoma"/>
      <w:sz w:val="16"/>
      <w:szCs w:val="16"/>
      <w:lang w:val="uk-UA"/>
    </w:rPr>
  </w:style>
  <w:style w:type="character" w:styleId="31">
    <w:name w:val="Основной текст 3 Знак"/>
    <w:qFormat/>
    <w:rPr>
      <w:sz w:val="16"/>
      <w:szCs w:val="16"/>
      <w:lang w:val="uk-UA"/>
    </w:rPr>
  </w:style>
  <w:style w:type="character" w:styleId="Style19">
    <w:name w:val="Основной текст_"/>
    <w:qFormat/>
    <w:rPr>
      <w:rFonts w:eastAsia="Times New Roman"/>
      <w:shd w:fill="FFFFFF" w:val="clear"/>
    </w:rPr>
  </w:style>
  <w:style w:type="character" w:styleId="Style20">
    <w:name w:val="Основной текст с отступом Знак"/>
    <w:qFormat/>
    <w:rPr>
      <w:sz w:val="28"/>
      <w:szCs w:val="22"/>
      <w:lang w:val="uk-UA"/>
    </w:rPr>
  </w:style>
  <w:style w:type="character" w:styleId="32">
    <w:name w:val="Основной текст с отступом 3 Знак"/>
    <w:qFormat/>
    <w:rPr>
      <w:sz w:val="16"/>
      <w:szCs w:val="16"/>
      <w:lang w:val="uk-UA"/>
    </w:rPr>
  </w:style>
  <w:style w:type="character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styleId="Style21">
    <w:name w:val="Текст выноски Знак"/>
    <w:qFormat/>
    <w:rPr>
      <w:rFonts w:ascii="Tahoma" w:hAnsi="Tahoma" w:cs="Tahoma"/>
      <w:sz w:val="16"/>
      <w:szCs w:val="16"/>
      <w:lang w:val="uk-UA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Style10"/>
    <w:rPr/>
  </w:style>
  <w:style w:type="character" w:styleId="Style22">
    <w:name w:val="Заголовок записки Знак"/>
    <w:qFormat/>
    <w:rPr>
      <w:sz w:val="28"/>
      <w:szCs w:val="22"/>
      <w:lang w:val="uk-UA"/>
    </w:rPr>
  </w:style>
  <w:style w:type="character" w:styleId="Hyperlink">
    <w:name w:val="Hyperlink"/>
    <w:rPr>
      <w:color w:val="0000FF"/>
      <w:u w:val="single"/>
    </w:rPr>
  </w:style>
  <w:style w:type="character" w:styleId="27">
    <w:name w:val="Основной текст (2) + 7"/>
    <w:qFormat/>
    <w:rPr>
      <w:rFonts w:ascii="Times New Roman" w:hAnsi="Times New Roman" w:cs="Times New Roman"/>
      <w:b/>
      <w:bCs/>
      <w:w w:val="30"/>
      <w:sz w:val="15"/>
      <w:szCs w:val="15"/>
      <w:u w:val="none"/>
      <w:lang w:bidi="ar-SA"/>
    </w:rPr>
  </w:style>
  <w:style w:type="character" w:styleId="211">
    <w:name w:val="Основной текст (2) + Не полужирный1"/>
    <w:qFormat/>
    <w:rPr>
      <w:rFonts w:ascii="Times New Roman" w:hAnsi="Times New Roman" w:cs="Times New Roman"/>
      <w:b/>
      <w:bCs/>
      <w:sz w:val="18"/>
      <w:szCs w:val="18"/>
      <w:u w:val="none"/>
      <w:lang w:bidi="ar-SA"/>
    </w:rPr>
  </w:style>
  <w:style w:type="character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styleId="26">
    <w:name w:val="Основной текст с отступом 2 Знак"/>
    <w:qFormat/>
    <w:rPr>
      <w:sz w:val="28"/>
      <w:szCs w:val="22"/>
      <w:lang w:val="uk-UA"/>
    </w:rPr>
  </w:style>
  <w:style w:type="character" w:styleId="7">
    <w:name w:val="Основной текст7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u w:val="none"/>
      <w:shd w:fill="FFFFFF" w:val="clear"/>
      <w:vertAlign w:val="baseline"/>
      <w:lang w:val="uk-UA"/>
    </w:rPr>
  </w:style>
  <w:style w:type="character" w:styleId="FontStyle11">
    <w:name w:val="Font Style11"/>
    <w:qFormat/>
    <w:rPr>
      <w:rFonts w:ascii="Courier New" w:hAnsi="Courier New" w:cs="Courier New"/>
      <w:b/>
      <w:bCs/>
      <w:sz w:val="12"/>
      <w:szCs w:val="12"/>
    </w:rPr>
  </w:style>
  <w:style w:type="character" w:styleId="apple-converted-space">
    <w:name w:val="apple-converted-space"/>
    <w:qFormat/>
    <w:rPr/>
  </w:style>
  <w:style w:type="character" w:styleId="BodyTextChar">
    <w:name w:val="Body Text Char"/>
    <w:qFormat/>
    <w:rPr>
      <w:rFonts w:ascii="Times New Roman" w:hAnsi="Times New Roman" w:cs="Times New Roman"/>
      <w:b/>
      <w:bCs/>
      <w:sz w:val="24"/>
      <w:szCs w:val="24"/>
    </w:rPr>
  </w:style>
  <w:style w:type="character" w:styleId="s1">
    <w:name w:val="s1"/>
    <w:basedOn w:val="Style10"/>
    <w:qFormat/>
    <w:rPr/>
  </w:style>
  <w:style w:type="character" w:styleId="12pt">
    <w:name w:val="Основной текст + 12 pt"/>
    <w:qFormat/>
    <w:rPr>
      <w:rFonts w:ascii="Times New Roman" w:hAnsi="Times New Roman" w:cs="Times New Roman"/>
      <w:b/>
      <w:bCs/>
      <w:sz w:val="24"/>
      <w:szCs w:val="24"/>
      <w:u w:val="none"/>
    </w:rPr>
  </w:style>
  <w:style w:type="character" w:styleId="Style23">
    <w:name w:val="Основной шрифт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jc w:val="center"/>
    </w:pPr>
    <w:rPr>
      <w:rFonts w:eastAsia="Times New Roman"/>
      <w:b/>
      <w:bCs/>
      <w:sz w:val="20"/>
      <w:szCs w:val="28"/>
    </w:rPr>
  </w:style>
  <w:style w:type="paragraph" w:styleId="BodyText">
    <w:name w:val="Body Text"/>
    <w:basedOn w:val="Normal"/>
    <w:pPr>
      <w:jc w:val="left"/>
    </w:pPr>
    <w:rPr>
      <w:rFonts w:eastAsia="Times New Roman"/>
      <w:b/>
      <w:bCs/>
      <w:szCs w:val="24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tyle24">
    <w:name w:val="Знак Знак Знак Знак Знак Знак Знак"/>
    <w:basedOn w:val="Normal"/>
    <w:qFormat/>
    <w:pPr>
      <w:jc w:val="left"/>
    </w:pPr>
    <w:rPr>
      <w:rFonts w:ascii="Verdana" w:hAnsi="Verdana" w:eastAsia="Times New Roman" w:cs="Verdana"/>
      <w:sz w:val="20"/>
      <w:szCs w:val="20"/>
      <w:lang w:val="en-US"/>
    </w:rPr>
  </w:style>
  <w:style w:type="paragraph" w:styleId="28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25">
    <w:name w:val="Обычный (веб)"/>
    <w:basedOn w:val="Normal"/>
    <w:qFormat/>
    <w:pPr>
      <w:spacing w:before="30" w:after="15"/>
      <w:jc w:val="left"/>
    </w:pPr>
    <w:rPr>
      <w:rFonts w:eastAsia="Times New Roman"/>
      <w:sz w:val="24"/>
      <w:szCs w:val="24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1">
    <w:name w:val="Знак Знак Знак Знак Знак1 Знак"/>
    <w:basedOn w:val="Normal"/>
    <w:qFormat/>
    <w:pPr>
      <w:jc w:val="left"/>
    </w:pPr>
    <w:rPr>
      <w:rFonts w:ascii="Verdana" w:hAnsi="Verdana" w:eastAsia="Batang;바탕" w:cs="Verdana"/>
      <w:sz w:val="20"/>
      <w:szCs w:val="20"/>
      <w:lang w:val="en-US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 w:cs="Courier New"/>
      <w:color w:val="000000"/>
      <w:sz w:val="14"/>
      <w:szCs w:val="14"/>
      <w:lang w:val="ru-RU"/>
    </w:rPr>
  </w:style>
  <w:style w:type="paragraph" w:styleId="rvps2">
    <w:name w:val="rvps2"/>
    <w:basedOn w:val="Normal"/>
    <w:qFormat/>
    <w:pPr>
      <w:spacing w:before="280" w:after="280"/>
      <w:jc w:val="left"/>
    </w:pPr>
    <w:rPr>
      <w:rFonts w:eastAsia="Times New Roman"/>
      <w:sz w:val="24"/>
      <w:szCs w:val="24"/>
      <w:lang w:val="ru-RU"/>
    </w:rPr>
  </w:style>
  <w:style w:type="paragraph" w:styleId="Style27">
    <w:name w:val="Текст"/>
    <w:basedOn w:val="Normal"/>
    <w:qFormat/>
    <w:pPr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210">
    <w:name w:val="Основной текст 2"/>
    <w:basedOn w:val="Normal"/>
    <w:qFormat/>
    <w:pPr>
      <w:spacing w:lineRule="auto" w:line="480" w:before="0" w:after="120"/>
    </w:pPr>
    <w:rPr/>
  </w:style>
  <w:style w:type="paragraph" w:styleId="Style2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2">
    <w:name w:val="Подпись к таблице1"/>
    <w:basedOn w:val="Normal"/>
    <w:qFormat/>
    <w:pPr>
      <w:widowControl w:val="false"/>
      <w:shd w:fill="FFFFFF" w:val="clear"/>
      <w:spacing w:lineRule="exact" w:line="198"/>
    </w:pPr>
    <w:rPr>
      <w:b/>
      <w:bCs/>
      <w:sz w:val="18"/>
      <w:szCs w:val="18"/>
      <w:shd w:fill="FFFFFF" w:val="clear"/>
      <w:lang w:val="en-US"/>
    </w:rPr>
  </w:style>
  <w:style w:type="paragraph" w:styleId="Style29">
    <w:name w:val="без абзаца"/>
    <w:basedOn w:val="Normal"/>
    <w:qFormat/>
    <w:pPr>
      <w:suppressAutoHyphens w:val="true"/>
      <w:jc w:val="left"/>
    </w:pPr>
    <w:rPr>
      <w:rFonts w:ascii="(обычный текст);Times New Roman" w:hAnsi="(обычный текст);Times New Roman" w:eastAsia="(обычный текст);Times New Roman" w:cs="(обычный текст);Times New Roman"/>
      <w:szCs w:val="20"/>
      <w:lang w:val="ru-RU"/>
    </w:rPr>
  </w:style>
  <w:style w:type="paragraph" w:styleId="Style30">
    <w:name w:val="Схема документа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 Знак Знак Знак Знак"/>
    <w:basedOn w:val="Normal"/>
    <w:qFormat/>
    <w:pPr>
      <w:jc w:val="left"/>
    </w:pPr>
    <w:rPr>
      <w:rFonts w:ascii="Verdana" w:hAnsi="Verdana" w:eastAsia="Times New Roman" w:cs="Verdana"/>
      <w:sz w:val="20"/>
      <w:szCs w:val="20"/>
      <w:lang w:val="en-US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13">
    <w:name w:val="Основной текст1"/>
    <w:basedOn w:val="Normal"/>
    <w:qFormat/>
    <w:pPr>
      <w:widowControl w:val="false"/>
      <w:shd w:fill="FFFFFF" w:val="clear"/>
      <w:spacing w:lineRule="exact" w:line="322"/>
    </w:pPr>
    <w:rPr>
      <w:rFonts w:eastAsia="Times New Roman"/>
      <w:sz w:val="20"/>
      <w:szCs w:val="20"/>
      <w:lang w:val="en-US"/>
    </w:rPr>
  </w:style>
  <w:style w:type="paragraph" w:styleId="ListParagraph1">
    <w:name w:val="List Paragraph1"/>
    <w:basedOn w:val="Normal"/>
    <w:qFormat/>
    <w:pPr>
      <w:widowControl w:val="false"/>
      <w:suppressAutoHyphens w:val="true"/>
      <w:spacing w:before="0" w:after="160"/>
      <w:ind w:hanging="0" w:left="720" w:right="0"/>
      <w:jc w:val="left"/>
    </w:pPr>
    <w:rPr>
      <w:rFonts w:ascii="Liberation Serif" w:hAnsi="Liberation Serif" w:eastAsia="SimSun;宋体" w:cs="Mangal"/>
      <w:kern w:val="2"/>
      <w:sz w:val="24"/>
      <w:szCs w:val="24"/>
      <w:lang w:val="ru-RU" w:bidi="hi-IN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32">
    <w:name w:val="Без интервала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uk-UA" w:bidi="ar-SA" w:eastAsia="zh-CN"/>
    </w:rPr>
  </w:style>
  <w:style w:type="paragraph" w:styleId="34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Style33">
    <w:name w:val="Знак Знак Знак Знак Знак Знак Знак Знак Знак"/>
    <w:basedOn w:val="Normal"/>
    <w:qFormat/>
    <w:pPr>
      <w:jc w:val="left"/>
    </w:pPr>
    <w:rPr>
      <w:rFonts w:ascii="Verdana" w:hAnsi="Verdana" w:eastAsia="Batang;바탕" w:cs="Verdana"/>
      <w:sz w:val="20"/>
      <w:szCs w:val="20"/>
      <w:lang w:val="en-US"/>
    </w:rPr>
  </w:style>
  <w:style w:type="paragraph" w:styleId="CharChar">
    <w:name w:val=" Char Знак Знак Char Знак Знак Знак Знак Знак Знак Знак Знак Знак Знак Знак Знак Знак Знак Знак Знак Знак Знак Знак Знак Знак Знак Знак Знак Знак"/>
    <w:basedOn w:val="Normal"/>
    <w:qFormat/>
    <w:pPr>
      <w:jc w:val="left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34">
    <w:name w:val="Заголовок записки"/>
    <w:basedOn w:val="Normal"/>
    <w:next w:val="Normal"/>
    <w:qFormat/>
    <w:pPr/>
    <w:rPr/>
  </w:style>
  <w:style w:type="paragraph" w:styleId="NoSpacing">
    <w:name w:val="No Spacing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35">
    <w:name w:val="Знак Знак Знак Знак"/>
    <w:basedOn w:val="Normal"/>
    <w:qFormat/>
    <w:pPr>
      <w:jc w:val="left"/>
    </w:pPr>
    <w:rPr>
      <w:rFonts w:ascii="Verdana" w:hAnsi="Verdana" w:eastAsia="Times New Roman" w:cs="Verdana"/>
      <w:sz w:val="20"/>
      <w:szCs w:val="20"/>
      <w:lang w:val="en-US"/>
    </w:rPr>
  </w:style>
  <w:style w:type="paragraph" w:styleId="CharChar1">
    <w:name w:val="Char Знак Знак Char Знак Знак Знак Знак Знак Знак Знак Знак Знак Знак Знак Знак Знак Знак Знак Знак Знак Знак Знак Знак Знак Знак Знак Знак Знак"/>
    <w:basedOn w:val="Normal"/>
    <w:qFormat/>
    <w:pPr>
      <w:jc w:val="left"/>
    </w:pPr>
    <w:rPr>
      <w:rFonts w:ascii="Verdana" w:hAnsi="Verdana" w:eastAsia="Times New Roman" w:cs="Verdana"/>
      <w:sz w:val="20"/>
      <w:szCs w:val="20"/>
      <w:lang w:val="en-US"/>
    </w:rPr>
  </w:style>
  <w:style w:type="paragraph" w:styleId="81">
    <w:name w:val="заголовок 8"/>
    <w:basedOn w:val="Normal"/>
    <w:next w:val="Normal"/>
    <w:qFormat/>
    <w:pPr>
      <w:keepNext w:val="true"/>
      <w:autoSpaceDE w:val="false"/>
      <w:jc w:val="left"/>
      <w:outlineLvl w:val="7"/>
    </w:pPr>
    <w:rPr>
      <w:rFonts w:ascii="1251 Kudriashov;Arial" w:hAnsi="1251 Kudriashov;Arial" w:eastAsia="Times New Roman" w:cs="1251 Kudriashov;Arial"/>
      <w:b/>
      <w:bCs/>
      <w:szCs w:val="28"/>
    </w:rPr>
  </w:style>
  <w:style w:type="paragraph" w:styleId="Style210">
    <w:name w:val="Style2"/>
    <w:basedOn w:val="Normal"/>
    <w:qFormat/>
    <w:pPr>
      <w:widowControl w:val="false"/>
      <w:autoSpaceDE w:val="false"/>
      <w:spacing w:lineRule="exact" w:line="295"/>
      <w:ind w:firstLine="710" w:left="0" w:right="0"/>
    </w:pPr>
    <w:rPr>
      <w:rFonts w:eastAsia="Times New Roman"/>
      <w:sz w:val="24"/>
      <w:szCs w:val="24"/>
    </w:rPr>
  </w:style>
  <w:style w:type="paragraph" w:styleId="Style36">
    <w:name w:val="Style3"/>
    <w:basedOn w:val="Normal"/>
    <w:qFormat/>
    <w:pPr>
      <w:widowControl w:val="false"/>
      <w:autoSpaceDE w:val="false"/>
      <w:spacing w:lineRule="exact" w:line="320"/>
      <w:ind w:firstLine="710" w:left="0" w:right="0"/>
    </w:pPr>
    <w:rPr>
      <w:rFonts w:eastAsia="Times New Roman"/>
      <w:sz w:val="24"/>
      <w:szCs w:val="24"/>
      <w:lang w:val="ru-RU"/>
    </w:rPr>
  </w:style>
  <w:style w:type="paragraph" w:styleId="WW-3">
    <w:name w:val="WW-Основной текст с отступом 3"/>
    <w:basedOn w:val="Normal"/>
    <w:qFormat/>
    <w:pPr>
      <w:suppressAutoHyphens w:val="true"/>
      <w:spacing w:lineRule="auto" w:line="360"/>
      <w:ind w:firstLine="720" w:left="0" w:right="0"/>
    </w:pPr>
    <w:rPr>
      <w:rFonts w:eastAsia="Times New Roman"/>
      <w:szCs w:val="24"/>
      <w:lang w:val="ru-RU"/>
    </w:rPr>
  </w:style>
  <w:style w:type="paragraph" w:styleId="normal1">
    <w:name w:val="normal1"/>
    <w:qFormat/>
    <w:pPr>
      <w:widowControl/>
      <w:pBdr/>
      <w:bidi w:val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uk-UA" w:bidi="ar-SA" w:eastAsia="zh-CN"/>
    </w:rPr>
  </w:style>
  <w:style w:type="paragraph" w:styleId="CharCharCharChar">
    <w:name w:val="Char Знак Знак Char Знак Знак Char Знак Знак Char Знак Знак Знак Знак Знак Знак"/>
    <w:basedOn w:val="Normal"/>
    <w:qFormat/>
    <w:pPr>
      <w:jc w:val="left"/>
    </w:pPr>
    <w:rPr>
      <w:rFonts w:ascii="Verdana" w:hAnsi="Verdana" w:eastAsia="Times New Roman" w:cs="Verdana"/>
      <w:sz w:val="20"/>
      <w:szCs w:val="20"/>
      <w:lang w:val="en-US"/>
    </w:rPr>
  </w:style>
  <w:style w:type="paragraph" w:styleId="14">
    <w:name w:val="Знак1 Знак"/>
    <w:basedOn w:val="Normal"/>
    <w:qFormat/>
    <w:pPr>
      <w:jc w:val="left"/>
    </w:pPr>
    <w:rPr>
      <w:rFonts w:ascii="Verdana" w:hAnsi="Verdana" w:eastAsia="Times New Roman" w:cs="Verdana"/>
      <w:sz w:val="20"/>
      <w:szCs w:val="20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2026-02-27T08:57:00Z</dcterms:created>
  <dc:creator>Admin</dc:creator>
  <dc:description/>
  <cp:keywords/>
  <dc:language>en-US</dc:language>
  <cp:lastModifiedBy>111</cp:lastModifiedBy>
  <cp:lastPrinted>2025-12-29T15:45:00Z</cp:lastPrinted>
  <dcterms:modified xsi:type="dcterms:W3CDTF">2026-02-27T08:57:00Z</dcterms:modified>
  <cp:revision>2</cp:revision>
  <dc:subject/>
  <dc:title>ЗАТВЕРДЖЕНО</dc:title>
</cp:coreProperties>
</file>