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Додаток 1 до Програми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Районної комплексної програми ветеранської політики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– 2028 роки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8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754"/>
      </w:tblGrid>
      <w:tr>
        <w:trPr>
          <w:trHeight w:val="900" w:hRule="atLeast"/>
        </w:trPr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 Ініціатор розроблення Програми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 соціальної та ветеранської політики Рівненської районної державної адміністрації</w:t>
            </w:r>
          </w:p>
        </w:tc>
      </w:tr>
      <w:tr>
        <w:trPr/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Регіональний замовник Програми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Рівненська районна державна адміністрація - Рівненська районна військова адміністрація</w:t>
            </w:r>
          </w:p>
        </w:tc>
      </w:tr>
      <w:tr>
        <w:trPr/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 Розробник Програми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 соціальної та ветеранської політики Рівненської районної державної адміністрації</w:t>
            </w:r>
          </w:p>
        </w:tc>
      </w:tr>
      <w:tr>
        <w:trPr/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 Відповідальні виконавці Програми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Управління  соціальної та ветеранської політики районної державної адміністрації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цифрового розвитку, цифрових трансформацій і цифровізації та організації діяльності центрів надання адміністративних послуг районної державної адміністрації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охорони здоров’я, освіти, культури, спорту районної державної адміністрації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Відділ інформаційної діяльності та комунікацій з громадськістю районної державної адміністрації</w:t>
            </w:r>
          </w:p>
        </w:tc>
      </w:tr>
      <w:tr>
        <w:trPr/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 Термін реалізації Програми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2026 - 2028 роки</w:t>
            </w:r>
          </w:p>
        </w:tc>
      </w:tr>
      <w:tr>
        <w:trPr/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6. Перелік бюджетів, які беруть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участь у виконанні Програми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Державний бюджет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Районний бюджет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Місцеві бюджети</w:t>
            </w:r>
          </w:p>
        </w:tc>
      </w:tr>
      <w:tr>
        <w:trPr>
          <w:trHeight w:val="837" w:hRule="atLeast"/>
        </w:trPr>
        <w:tc>
          <w:tcPr>
            <w:tcW w:w="5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7. Загальний обсяг фінансових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ресурсів, необхідних для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реалізації Програми, усього</w:t>
            </w:r>
          </w:p>
          <w:p>
            <w:pPr>
              <w:pStyle w:val="Normal"/>
              <w:tabs>
                <w:tab w:val="clear" w:pos="708"/>
                <w:tab w:val="left" w:pos="570" w:leader="none"/>
                <w:tab w:val="left" w:pos="870" w:leader="none"/>
                <w:tab w:val="left" w:pos="114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 тому числі: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коштів місцевих бюджету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left" w:pos="315" w:leader="none"/>
                <w:tab w:val="left" w:pos="561" w:leader="none"/>
                <w:tab w:val="center" w:pos="651" w:leader="none"/>
                <w:tab w:val="center" w:pos="4677" w:leader="none"/>
                <w:tab w:val="right" w:pos="9355" w:leader="none"/>
              </w:tabs>
              <w:snapToGrid w:val="false"/>
              <w:ind w:right="-7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</w:r>
          </w:p>
          <w:p>
            <w:pPr>
              <w:pStyle w:val="Header"/>
              <w:tabs>
                <w:tab w:val="left" w:pos="315" w:leader="none"/>
                <w:tab w:val="left" w:pos="561" w:leader="none"/>
                <w:tab w:val="center" w:pos="651" w:leader="none"/>
                <w:tab w:val="center" w:pos="4677" w:leader="none"/>
                <w:tab w:val="right" w:pos="9355" w:leader="none"/>
              </w:tabs>
              <w:ind w:right="-79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Header"/>
              <w:tabs>
                <w:tab w:val="left" w:pos="315" w:leader="none"/>
                <w:tab w:val="left" w:pos="561" w:leader="none"/>
                <w:tab w:val="center" w:pos="651" w:leader="none"/>
                <w:tab w:val="center" w:pos="4677" w:leader="none"/>
                <w:tab w:val="right" w:pos="9355" w:leader="none"/>
              </w:tabs>
              <w:ind w:right="-79"/>
              <w:rPr>
                <w:lang w:val="uk-UA"/>
              </w:rPr>
            </w:pPr>
            <w:r>
              <w:rPr>
                <w:lang w:val="uk-UA"/>
              </w:rPr>
              <w:t>11400 тис. гривень</w:t>
            </w:r>
          </w:p>
        </w:tc>
      </w:tr>
      <w:tr>
        <w:trPr>
          <w:trHeight w:val="272" w:hRule="atLeast"/>
        </w:trPr>
        <w:tc>
          <w:tcPr>
            <w:tcW w:w="50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tabs>
                <w:tab w:val="left" w:pos="315" w:leader="none"/>
                <w:tab w:val="left" w:pos="561" w:leader="none"/>
                <w:tab w:val="center" w:pos="651" w:leader="none"/>
                <w:tab w:val="center" w:pos="4677" w:leader="none"/>
                <w:tab w:val="right" w:pos="9355" w:leader="none"/>
              </w:tabs>
              <w:snapToGrid w:val="false"/>
              <w:ind w:right="-7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</w:r>
          </w:p>
          <w:p>
            <w:pPr>
              <w:pStyle w:val="Header"/>
              <w:tabs>
                <w:tab w:val="left" w:pos="315" w:leader="none"/>
                <w:tab w:val="left" w:pos="561" w:leader="none"/>
                <w:tab w:val="center" w:pos="651" w:leader="none"/>
                <w:tab w:val="center" w:pos="4677" w:leader="none"/>
                <w:tab w:val="right" w:pos="9355" w:leader="none"/>
              </w:tabs>
              <w:ind w:right="-79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11400 тис. гривень</w:t>
            </w:r>
          </w:p>
        </w:tc>
      </w:tr>
      <w:tr>
        <w:trPr/>
        <w:tc>
          <w:tcPr>
            <w:tcW w:w="9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675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 Прогнозні обсяги та джерела фінансування:</w:t>
              <w:tab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cs="Times New Roman" w:ascii="Times New Roman" w:hAnsi="Times New Roman"/>
          <w:vanish/>
          <w:sz w:val="24"/>
          <w:szCs w:val="24"/>
        </w:rPr>
      </w:r>
    </w:p>
    <w:tbl>
      <w:tblPr>
        <w:tblpPr w:vertAnchor="text" w:horzAnchor="margin" w:rightFromText="180" w:tblpX="5" w:tblpY="97"/>
        <w:tblW w:w="98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2410"/>
        <w:gridCol w:w="1276"/>
        <w:gridCol w:w="3039"/>
        <w:gridCol w:w="1260"/>
      </w:tblGrid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Рік </w:t>
            </w:r>
          </w:p>
        </w:tc>
        <w:tc>
          <w:tcPr>
            <w:tcW w:w="9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Обсяг коштів, які планується залучити для виконання Програми, тис. гривень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7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тому числі за джерелами фінансування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Районнийбюджет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Місцеві бюджети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інші джерела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right"/>
        <w:rPr>
          <w:color w:val="FF0000"/>
          <w:sz w:val="4"/>
          <w:szCs w:val="4"/>
        </w:rPr>
      </w:pPr>
      <w:r>
        <w:rPr>
          <w:color w:val="FF0000"/>
          <w:sz w:val="4"/>
          <w:szCs w:val="4"/>
        </w:rPr>
      </w:r>
    </w:p>
    <w:p>
      <w:pPr>
        <w:pStyle w:val="Normal"/>
        <w:rPr>
          <w:color w:val="FF0000"/>
          <w:sz w:val="4"/>
          <w:szCs w:val="4"/>
        </w:rPr>
      </w:pPr>
      <w:r>
        <w:rPr>
          <w:color w:val="FF0000"/>
          <w:sz w:val="4"/>
          <w:szCs w:val="4"/>
        </w:rPr>
      </w:r>
    </w:p>
    <w:p>
      <w:pPr>
        <w:pStyle w:val="Normal"/>
        <w:spacing w:before="0" w:after="200"/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701" w:right="567" w:gutter="0" w:header="0" w:top="540" w:footer="0" w:bottom="1079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Antiqua">
    <w:altName w:val="Segoe UI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Aptos;Arial" w:cs="Calibri"/>
      <w:color w:val="auto"/>
      <w:sz w:val="22"/>
      <w:szCs w:val="22"/>
      <w:lang w:val="uk-UA" w:bidi="ar-SA" w:eastAsia="zh-CN"/>
    </w:rPr>
  </w:style>
  <w:style w:type="character" w:styleId="Style14">
    <w:name w:val="Основной шрифт абзаца"/>
    <w:qFormat/>
    <w:rPr/>
  </w:style>
  <w:style w:type="character" w:styleId="HeaderChar">
    <w:name w:val="Header Char"/>
    <w:basedOn w:val="Style14"/>
    <w:qFormat/>
    <w:rPr>
      <w:rFonts w:eastAsia="Aptos;Arial"/>
      <w:sz w:val="24"/>
      <w:szCs w:val="24"/>
      <w:lang w:val="ru-RU" w:bidi="ar-SA"/>
    </w:rPr>
  </w:style>
  <w:style w:type="character" w:styleId="PageNumber">
    <w:name w:val="page number"/>
    <w:basedOn w:val="Style14"/>
    <w:rPr>
      <w:rFonts w:cs="Times New Roman"/>
    </w:rPr>
  </w:style>
  <w:style w:type="character" w:styleId="1">
    <w:name w:val="Знак Знак1"/>
    <w:qFormat/>
    <w:rPr>
      <w:rFonts w:ascii="Antiqua;Segoe UI" w:hAnsi="Antiqua;Segoe UI" w:cs="Antiqua;Segoe UI"/>
      <w:sz w:val="26"/>
      <w:lang w:val="uk-UA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</w:pPr>
    <w:rPr>
      <w:rFonts w:ascii="Antiqua;Segoe UI" w:hAnsi="Antiqua;Segoe UI" w:eastAsia="Times New Roman" w:cs="Antiqua;Segoe UI"/>
      <w:sz w:val="26"/>
      <w:szCs w:val="20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cs="Times New Roman"/>
      <w:sz w:val="24"/>
      <w:szCs w:val="24"/>
      <w:lang w:val="ru-RU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2026-02-03T07:29:00Z</dcterms:created>
  <dc:creator>Сергійчук</dc:creator>
  <dc:description/>
  <cp:keywords/>
  <dc:language>en-US</dc:language>
  <cp:lastModifiedBy>Сергійчук</cp:lastModifiedBy>
  <cp:lastPrinted>2026-02-03T08:33:00Z</cp:lastPrinted>
  <dcterms:modified xsi:type="dcterms:W3CDTF">2026-02-03T07:34:00Z</dcterms:modified>
  <cp:revision>4</cp:revision>
  <dc:subject/>
  <dc:title>Додаток 1 до Програми </dc:title>
</cp:coreProperties>
</file>