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  <w:sz w:val="28"/>
          <w:lang w:val="uk-UA" w:eastAsia="uk-UA"/>
        </w:rPr>
      </w:pPr>
      <w:r>
        <w:rPr>
          <w:color w:val="000000"/>
          <w:sz w:val="28"/>
          <w:lang w:val="uk-UA" w:eastAsia="uk-UA"/>
        </w:rPr>
      </w:r>
    </w:p>
    <w:p>
      <w:pPr>
        <w:pStyle w:val="Normal"/>
        <w:jc w:val="right"/>
        <w:rPr>
          <w:color w:val="000000"/>
          <w:sz w:val="28"/>
          <w:lang w:val="uk-UA" w:eastAsia="uk-UA"/>
        </w:rPr>
      </w:pPr>
      <w:r>
        <w:rPr>
          <w:color w:val="000000"/>
          <w:sz w:val="28"/>
          <w:lang w:val="uk-UA" w:eastAsia="uk-UA"/>
        </w:rPr>
      </w:r>
    </w:p>
    <w:p>
      <w:pPr>
        <w:pStyle w:val="Normal"/>
        <w:jc w:val="right"/>
        <w:rPr/>
      </w:pPr>
      <w:r>
        <w:rPr>
          <w:color w:val="000000"/>
          <w:sz w:val="28"/>
          <w:lang w:val="uk-UA" w:eastAsia="uk-UA"/>
        </w:rPr>
        <w:t>Додаток 2 до Програми</w:t>
      </w:r>
    </w:p>
    <w:p>
      <w:pPr>
        <w:pStyle w:val="Normal"/>
        <w:jc w:val="center"/>
        <w:rPr>
          <w:color w:val="000000"/>
          <w:sz w:val="28"/>
          <w:lang w:val="uk-UA" w:eastAsia="uk-UA"/>
        </w:rPr>
      </w:pPr>
      <w:r>
        <w:rPr>
          <w:bCs/>
          <w:color w:val="000000"/>
          <w:sz w:val="28"/>
          <w:lang w:val="uk-UA" w:eastAsia="uk-UA"/>
        </w:rPr>
        <w:t xml:space="preserve">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ЗАХОДИ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z w:val="28"/>
          <w:lang w:val="uk-UA"/>
        </w:rPr>
        <w:t xml:space="preserve"> реалізації Районної комплексної програми ветеранської політики на 2026 – 2028</w:t>
      </w:r>
      <w:r>
        <w:rPr>
          <w:b/>
          <w:sz w:val="28"/>
        </w:rPr>
        <w:t xml:space="preserve"> роки</w:t>
      </w:r>
    </w:p>
    <w:p>
      <w:pPr>
        <w:pStyle w:val="Normal"/>
        <w:ind w:firstLine="708" w:right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tbl>
      <w:tblPr>
        <w:tblW w:w="155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11"/>
        <w:gridCol w:w="3118"/>
        <w:gridCol w:w="1987"/>
        <w:gridCol w:w="1134"/>
        <w:gridCol w:w="1134"/>
        <w:gridCol w:w="1132"/>
        <w:gridCol w:w="2121"/>
        <w:gridCol w:w="6"/>
        <w:gridCol w:w="7"/>
        <w:gridCol w:w="232"/>
        <w:gridCol w:w="8"/>
        <w:gridCol w:w="11"/>
        <w:gridCol w:w="38"/>
      </w:tblGrid>
      <w:tr>
        <w:trPr>
          <w:trHeight w:val="628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заходу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Виконавець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Вид 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бюджету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Орієнтовні обсяги фінансування, </w:t>
              <w:br/>
              <w:t>тис. грн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Очікувані результати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380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>2027 рік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2028 рік</w:t>
            </w:r>
          </w:p>
        </w:tc>
        <w:tc>
          <w:tcPr>
            <w:tcW w:w="21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І. Організація реалізації ветеранської політики в районі</w:t>
            </w:r>
          </w:p>
        </w:tc>
        <w:tc>
          <w:tcPr>
            <w:tcW w:w="247" w:type="dxa"/>
            <w:gridSpan w:val="3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49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Організація навчання фахівців із супроводу ветеранів та демобілізованих осіб та фахівців, на яких покладено обов’язки з реалізації ветеранської політики в територіальних громадах району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 xml:space="preserve">Управління соціальної та ветеранської політики районної державної адміністрації, виконавчі комітети сільських, селищних, міських рад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Проведене навчання для зазначених категорій фахівців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 xml:space="preserve">Забезпечення інформування громадськості про пільги та гарантії, а також можливості для соціальної адаптації, навчання, працевлаштування, започаткування і розвитку власної справи, спорту ветеранів та членів їх сімей, у тому числі висвітлення у засобах масової інформації, на вебсайтах, інформаційних стендах тощо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Управління цифрового розвитку, цифрових трансформацій і цифровізації та організації діяльності центрів надання адміністративних послуг, управління соціальної та ветеранської політики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районної державної адміністрації,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</w:t>
            </w:r>
          </w:p>
          <w:p>
            <w:pPr>
              <w:pStyle w:val="Normal"/>
              <w:rPr/>
            </w:pPr>
            <w:r>
              <w:rPr>
                <w:lang w:val="uk-UA"/>
              </w:rPr>
              <w:t>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highlight w:val="yellow"/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Підвищення рівня поінформованості громадськості щодо означених питань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Впровадження і організація роботи в громадах району інституту фахівців із супроводу ветеранів і демобілізованих осіб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соціальної та ветеранської політики районної державної адміністрації в межах повноважень,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Якісне надання послуг такими фахівцями 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Відкриття просторів, хабів у громадах району з метою комплексного надання послуг ветеранам і членам їх сімей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Управління соціальної та ветеранської політики районної державної адміністрації в межах повноважень, виконавчі комітети сільських, селищних, міських рад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Місцеві бюджети,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Функціонування мережі зазначених установ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Всього за розділом І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ІІ. Соціальна підтримка ветеранів війни та членів їх сімей</w:t>
            </w:r>
          </w:p>
        </w:tc>
        <w:tc>
          <w:tcPr>
            <w:tcW w:w="247" w:type="dxa"/>
            <w:gridSpan w:val="3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Поліпшення житлових умов ветеранів та членів їх сімей за рахунок цільової субвенції з державного бюджету України та коштів місцевих бюджетів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соціальної та ветеранської політики районної державної адміністрації в межах повноважень,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Державний бюджет,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Придбання житла, зазначеним особам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Забезпечення прав ветеранів та сімей загиблих (померлих) ветеранів війни, загиблих (померлих) Захисників і Захисниць України на отримання земельних ділянок, передбачених чинним законодавством, після зняття мораторію на землю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darkBlue"/>
                <w:lang w:val="uk-UA"/>
              </w:rPr>
            </w:pPr>
            <w:r>
              <w:rPr>
                <w:lang w:val="uk-UA"/>
              </w:rPr>
              <w:t xml:space="preserve">Управління соціальної та ветеранської політики районної державної адміністрації в межах повноважень, виконавчі комітети сільських, селищних, міських рад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Поліпшення умов проживання зазначених осіб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Забезпечення соціальним обслуговуванням вдома одиноких непрацездатних батьків загиблих (померлих) ветеранів війни та загиблих (померлих) Захисників і Захисниць України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соціальної та ветеранської політики районної державної адміністрації в межах повноважень, виконавчі комітети сільських, селищних, міських рад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highlight w:val="yellow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Надання необхідних соціальних послуг зазначеним особам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>Медичне забезпечення ветеранів, у закладах охорони здоров’я територіальних громад району за рахунок Програми державних гарантій медичного обслуговування населення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Управління охорони здоров’я, освіти, культури, спорту районної державної адміністрації</w:t>
            </w:r>
            <w:r>
              <w:rPr>
                <w:lang w:val="uk-UA"/>
              </w:rPr>
              <w:t>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Державний бюджет,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Поліпшення здоров’я зазначених осіб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Забезпечення безкоштовним харчуванням у закладах дошкільної та середньої освіти дітей ветеранів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Управління охорони здоров’я, освіти, культури, спорту районної державної адміністрації, виконавчі комітети сільських, селищних, міських рад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Діти ветеранів війни забезпечені харчуванням у закладах дошкільної та середньої освіти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Розвиток мережі закладів охорони здоров’я, які надають медичну, реабілітаційну та психологічну допомогу звільненим з полону особам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Управління охорони здоров’я, освіти, культури, спорту районної державної адміністрації, виконавчі комітети сільських, селищних, міських рад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Державний бюджет,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Надання якісної медичної допомоги зазначеній категорії осіб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Розвиток мережі закладів, які надають паліативну медичну допомогу ветеранам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Управління охорони здоров’я, освіти, культури, спорту районної державної адміністрації, виконавчі комітети сільських, селищних, міських рад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Державний бюджет,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Здійснення паліативного догляду за ветеранами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Всього за розділом ІІ</w:t>
            </w:r>
          </w:p>
        </w:tc>
        <w:tc>
          <w:tcPr>
            <w:tcW w:w="28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1600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1600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0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lang w:val="uk-UA"/>
              </w:rPr>
              <w:t>ІІІ. Соціально-психологічна та фізкультурно-спортивна адаптація та покращення ментального здоров</w:t>
            </w:r>
            <w:r>
              <w:rPr>
                <w:b/>
              </w:rPr>
              <w:t>’</w:t>
            </w:r>
            <w:r>
              <w:rPr>
                <w:b/>
                <w:lang w:val="uk-UA"/>
              </w:rPr>
              <w:t>я ветеранів війни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та членів їх сімей</w:t>
            </w:r>
          </w:p>
        </w:tc>
        <w:tc>
          <w:tcPr>
            <w:tcW w:w="302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lang w:val="uk-UA"/>
              </w:rPr>
              <w:t>Створення безпечних просторів для емоційного відновлення, реінтеграції та соціалізації ветеранів у територіальних громадах району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lang w:val="uk-UA"/>
              </w:rPr>
              <w:t>Управління соціальної та ветеранської політики районної державної адміністрації в межах повноважень,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Адаптація зазначених осіб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Компенсація вартості самостійного санаторно-курортного лікування ветеранів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Виконавчі комітети сільських, селищних, міських рад, управління соціальної та ветеранської політики районної державної адміністрації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Санаторно-курорте лікування ветеранів та членів їхніх сімей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Проведення заходів психологічної підтримки ветеранів та членів їх сімей, в тому числі за принципом «Рівний-рівному»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lang w:val="uk-UA"/>
              </w:rPr>
              <w:t xml:space="preserve">Управління соціальної  та ветеранської політики </w:t>
            </w:r>
            <w:r>
              <w:rPr>
                <w:lang w:val="uk-UA"/>
              </w:rPr>
              <w:t>районної державної адміністрації,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>Побудована система психологічної підтримки та покращення ментального здоров</w:t>
            </w:r>
            <w:r>
              <w:rPr/>
              <w:t>’</w:t>
            </w:r>
            <w:r>
              <w:rPr>
                <w:lang w:val="uk-UA"/>
              </w:rPr>
              <w:t>я ветеранів і членів їх сімей в громадах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Всього за розділом ІІІ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IV. Адаптивний спорт та рухова активність ветеранів війни та членів їх сімей</w:t>
            </w:r>
          </w:p>
        </w:tc>
        <w:tc>
          <w:tcPr>
            <w:tcW w:w="2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38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Забезпечення безкоштовного відвідування ветеранами та членами їх сімей тренажерних залів, басейнів, спортивних секцій, спортивних локацій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охорони здоров’я, освіти, культури, спорту, управління соціальної та ветеранської політики районної державної адміністрації,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Державний бюджет,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Створено умови для оздоровлення зазначених осіб шляхом зайняття руховою активністю та спортом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Проведення серед ветеранів спортивних змагань, передбачених єдиним календарним планом спортивних змагань та заходів зі спорту ветеранів війни Міністерства у справах ветеранів України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охорони здоров’я, освіти, культури, спорту районної державної адміністрації,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Ветерани залучені до систематичних занять спортом 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Забезпечення участі ветеранів у всеукраїнських комплексних інклюзивних заходах з адаптивного спорту для ветеранів війни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соціальної та ветеранської політики,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охорони здоров’я, освіти, культури, спорту районної державної адміністрації,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Забезпечено участь ветеранів району у зазначених заходах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2176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uk-UA"/>
              </w:rPr>
              <w:t>Проведення заходів з рухової активності серед ветеранів та членів їх сімей з нагоди державних свят і пам</w:t>
            </w:r>
            <w:r>
              <w:rPr/>
              <w:t>’</w:t>
            </w:r>
            <w:r>
              <w:rPr>
                <w:lang w:val="uk-UA"/>
              </w:rPr>
              <w:t xml:space="preserve">ятних дат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соціальної та ветеранської політики, управління охорони здоров’я, освіти, культури, спорту районної державної адміністрації,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Залучення ветеранів та членів їх сімей до рухової активності, покращення їх фізичного та ментального здоров’я 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Всього за розділом IV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1400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1400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24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V. Соціальна адаптація та реінтеграція ветеранів війни та членів їх сімей у цивільне життя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7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27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Організація та проведення комплексних заходів соціальної адаптації ветеранів і членів їх сімей «Рівненська єдність»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соціальної  та ветеранської політики, управління охорони здоров’я, освіти, культури, спорту районної державної адміністрації,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Соціальна адаптація ветеранів війни і членів їх сімей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Впровадження проєктів, спрямованих на здобуття ветеранами, у тому числі з інвалідністю, навичок, вмінь та професій з метою їх подальшого працевлаштування, започаткування власної справи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соціальної та ветеранської політики районної державної адміністрації, Рівненська районна філія Рівненського обласного центру зайнятості (за згодою)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Отримання освіти зазначеними особами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Підтримка та співпраця з інститутами громадянського суспільства, засновниками яких є ветерани та члени їх сімей і діяльність яких спрямована на підтримку ветеранів і членів їх сімей, проведення спільних просвітницьких, інформаційних заходів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Управління соціальної та ветеранської політики,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відділ інформаційної діяльності та комунікацій з громадськістю районної державної адміністрації,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Соціальна адаптація та інтеграція у суспільне життя зазначених осіб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293" w:hRule="atLeast"/>
        </w:trPr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Всього за розділом V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>350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>350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VІ. Національно-патріотичне виховання, національна ідентичність, меморалізація та вшанування пам’яті</w:t>
            </w:r>
          </w:p>
          <w:p>
            <w:pPr>
              <w:pStyle w:val="Normal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7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Організація участі ветеранів та членів їх сімей у заходах, присвячених відзначенню пам’ятних дат, державних свят, заходів соціальної адаптації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охорони здоров’я, освіти, культури, спорту, управління соціальної та ветеранської політики, відділ інформаційної діяльності та комунікацій з громадськістю районної державної адміністрації,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Підвищення громадянської та патріотичної свідомості громад району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Проведення заходів, у тому числі масових, спрямованих на утвердження поваги до ветеранів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соціальної та ветеранської політики,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відділ інформаційної діяльності та комунікацій з громадськістю районної державної адміністрації,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Виховання та поглиблення шанобливого ставлення до ветеранів 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Проведення у навчальних закладах уроків та заходів національно-патріотичного виховання із залученням ветеранів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Управління охорони здоров’я, освіти, культури, спорту районної державної адміністрації, виконавчі комітети сільських, селищних, міських рад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Патріотичне виховання дітей та молоді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Всього за розділом VІ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Разом за Програмою</w:t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446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3820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Інші джерела,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6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sectPr>
      <w:headerReference w:type="default" r:id="rId2"/>
      <w:headerReference w:type="first" r:id="rId3"/>
      <w:type w:val="nextPage"/>
      <w:pgSz w:orient="landscape" w:w="16838" w:h="11906"/>
      <w:pgMar w:left="1134" w:right="1134" w:gutter="0" w:header="709" w:top="765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Antiqua">
    <w:altName w:val="Segoe UI"/>
    <w:charset w:val="00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361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  <w:lang w:val="en-US"/>
    </w:rPr>
  </w:style>
  <w:style w:type="character" w:styleId="WW8Num1z0">
    <w:name w:val="WW8Num1z0"/>
    <w:qFormat/>
    <w:rPr/>
  </w:style>
  <w:style w:type="character" w:styleId="Style12">
    <w:name w:val="Основной шрифт абзаца"/>
    <w:qFormat/>
    <w:rPr/>
  </w:style>
  <w:style w:type="character" w:styleId="3">
    <w:name w:val=" Знак Знак3"/>
    <w:qFormat/>
    <w:rPr>
      <w:rFonts w:ascii="Antiqua;Segoe UI" w:hAnsi="Antiqua;Segoe UI" w:cs="Antiqua;Segoe UI"/>
      <w:sz w:val="26"/>
      <w:lang w:val="uk-UA" w:bidi="ar-SA"/>
    </w:rPr>
  </w:style>
  <w:style w:type="character" w:styleId="1">
    <w:name w:val=" Знак Знак1"/>
    <w:qFormat/>
    <w:rPr>
      <w:rFonts w:ascii="Antiqua;Segoe UI" w:hAnsi="Antiqua;Segoe UI" w:cs="Antiqua;Segoe UI"/>
      <w:sz w:val="26"/>
      <w:lang w:val="uk-UA" w:bidi="ar-SA"/>
    </w:rPr>
  </w:style>
  <w:style w:type="character" w:styleId="5">
    <w:name w:val=" Знак Знак5"/>
    <w:qFormat/>
    <w:rPr>
      <w:rFonts w:ascii="Calibri Light" w:hAnsi="Calibri Light" w:cs="Calibri Light"/>
      <w:b/>
      <w:bCs/>
      <w:i/>
      <w:iCs/>
      <w:sz w:val="28"/>
      <w:szCs w:val="28"/>
      <w:lang w:val="en-US" w:bidi="ar-SA"/>
    </w:rPr>
  </w:style>
  <w:style w:type="character" w:styleId="apple-style-span">
    <w:name w:val="apple-style-span"/>
    <w:basedOn w:val="Style12"/>
    <w:qFormat/>
    <w:rPr/>
  </w:style>
  <w:style w:type="character" w:styleId="4">
    <w:name w:val=" Знак Знак4"/>
    <w:qFormat/>
    <w:rPr>
      <w:rFonts w:ascii="Antiqua;Segoe UI" w:hAnsi="Antiqua;Segoe UI" w:cs="Antiqua;Segoe UI"/>
      <w:b/>
      <w:sz w:val="26"/>
      <w:lang w:val="uk-UA" w:bidi="ar-SA"/>
    </w:rPr>
  </w:style>
  <w:style w:type="character" w:styleId="2">
    <w:name w:val=" Знак Знак2"/>
    <w:qFormat/>
    <w:rPr>
      <w:rFonts w:ascii="Antiqua;Segoe UI" w:hAnsi="Antiqua;Segoe UI" w:cs="Antiqua;Segoe UI"/>
      <w:sz w:val="26"/>
      <w:lang w:val="uk-UA" w:bidi="ar-SA"/>
    </w:rPr>
  </w:style>
  <w:style w:type="character" w:styleId="PageNumber">
    <w:name w:val="page number"/>
    <w:basedOn w:val="Style12"/>
    <w:rPr/>
  </w:style>
  <w:style w:type="character" w:styleId="6">
    <w:name w:val=" Знак Знак6"/>
    <w:qFormat/>
    <w:rPr>
      <w:rFonts w:ascii="Calibri Light" w:hAnsi="Calibri Light" w:eastAsia="Times New Roman" w:cs="Times New Roman"/>
      <w:b/>
      <w:bCs/>
      <w:kern w:val="2"/>
      <w:sz w:val="32"/>
      <w:szCs w:val="32"/>
      <w:lang w:val="ru-RU"/>
    </w:rPr>
  </w:style>
  <w:style w:type="character" w:styleId="Style13">
    <w:name w:val=" Знак Знак"/>
    <w:qFormat/>
    <w:rPr>
      <w:rFonts w:ascii="Segoe UI" w:hAnsi="Segoe UI" w:cs="Segoe UI"/>
      <w:sz w:val="18"/>
      <w:szCs w:val="18"/>
      <w:lang w:val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rFonts w:ascii="Antiqua;Segoe UI" w:hAnsi="Antiqua;Segoe UI" w:cs="Antiqua;Segoe UI"/>
      <w:sz w:val="26"/>
      <w:szCs w:val="20"/>
      <w:lang w:val="uk-U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4">
    <w:name w:val="Нормальний текст"/>
    <w:basedOn w:val="Normal"/>
    <w:qFormat/>
    <w:pPr>
      <w:widowControl w:val="false"/>
      <w:overflowPunct w:val="false"/>
      <w:autoSpaceDE w:val="false"/>
      <w:spacing w:before="120" w:after="0"/>
      <w:ind w:firstLine="567" w:left="0" w:right="0"/>
      <w:jc w:val="both"/>
      <w:textAlignment w:val="baseline"/>
    </w:pPr>
    <w:rPr>
      <w:rFonts w:ascii="Antiqua;Segoe UI" w:hAnsi="Antiqua;Segoe UI" w:cs="Antiqua;Segoe UI"/>
      <w:sz w:val="26"/>
      <w:szCs w:val="20"/>
    </w:rPr>
  </w:style>
  <w:style w:type="paragraph" w:styleId="Style15">
    <w:name w:val="Обычный (веб)"/>
    <w:basedOn w:val="Normal"/>
    <w:qFormat/>
    <w:pPr>
      <w:spacing w:before="280" w:after="280"/>
    </w:pPr>
    <w:rPr/>
  </w:style>
  <w:style w:type="paragraph" w:styleId="newsp">
    <w:name w:val="news_p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rFonts w:ascii="Antiqua;Segoe UI" w:hAnsi="Antiqua;Segoe UI" w:cs="Antiqua;Segoe UI"/>
      <w:sz w:val="26"/>
      <w:szCs w:val="20"/>
      <w:lang w:val="uk-UA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2026-02-02T15:40:00Z</dcterms:created>
  <dc:creator>sobes</dc:creator>
  <dc:description/>
  <cp:keywords/>
  <dc:language>en-US</dc:language>
  <cp:lastModifiedBy>Сергійчук</cp:lastModifiedBy>
  <cp:lastPrinted>2026-02-03T08:48:00Z</cp:lastPrinted>
  <dcterms:modified xsi:type="dcterms:W3CDTF">2026-02-03T08:26:00Z</dcterms:modified>
  <cp:revision>8</cp:revision>
  <dc:subject/>
  <dc:title>Додаток до Програми</dc:title>
</cp:coreProperties>
</file>