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4A9" w:rsidRPr="00594731" w:rsidRDefault="00D074A9" w:rsidP="00D074A9">
      <w:pPr>
        <w:ind w:left="5245"/>
        <w:rPr>
          <w:color w:val="000000"/>
        </w:rPr>
      </w:pPr>
      <w:r>
        <w:rPr>
          <w:color w:val="000000"/>
        </w:rPr>
        <w:t>ЗАТВЕРДЖЕНО</w:t>
      </w:r>
    </w:p>
    <w:p w:rsidR="00D074A9" w:rsidRDefault="00D074A9" w:rsidP="00D074A9">
      <w:pPr>
        <w:ind w:left="5245"/>
        <w:rPr>
          <w:color w:val="000000"/>
        </w:rPr>
      </w:pPr>
    </w:p>
    <w:p w:rsidR="00D074A9" w:rsidRPr="00594731" w:rsidRDefault="00D074A9" w:rsidP="00D074A9">
      <w:pPr>
        <w:ind w:left="5245"/>
        <w:rPr>
          <w:color w:val="000000"/>
        </w:rPr>
      </w:pPr>
      <w:r>
        <w:rPr>
          <w:color w:val="000000"/>
        </w:rPr>
        <w:t>Р</w:t>
      </w:r>
      <w:r w:rsidRPr="00594731">
        <w:rPr>
          <w:color w:val="000000"/>
        </w:rPr>
        <w:t xml:space="preserve">озпорядження голови </w:t>
      </w:r>
      <w:r>
        <w:rPr>
          <w:color w:val="000000"/>
        </w:rPr>
        <w:t xml:space="preserve">Рівненської </w:t>
      </w:r>
      <w:r w:rsidRPr="00594731">
        <w:rPr>
          <w:color w:val="000000"/>
        </w:rPr>
        <w:t xml:space="preserve">районної державної  адміністрації </w:t>
      </w:r>
      <w:r>
        <w:rPr>
          <w:color w:val="000000"/>
        </w:rPr>
        <w:t>–</w:t>
      </w:r>
      <w:r w:rsidRPr="00594731">
        <w:rPr>
          <w:color w:val="000000"/>
        </w:rPr>
        <w:t xml:space="preserve"> начальника</w:t>
      </w:r>
      <w:r>
        <w:rPr>
          <w:color w:val="000000"/>
        </w:rPr>
        <w:t xml:space="preserve"> Рівненської</w:t>
      </w:r>
      <w:r w:rsidRPr="00594731">
        <w:rPr>
          <w:color w:val="000000"/>
        </w:rPr>
        <w:t xml:space="preserve"> районної військової адміністрації</w:t>
      </w:r>
    </w:p>
    <w:p w:rsidR="00D074A9" w:rsidRPr="00594731" w:rsidRDefault="00D074A9" w:rsidP="00D074A9">
      <w:pPr>
        <w:ind w:left="5245"/>
        <w:rPr>
          <w:color w:val="000000"/>
        </w:rPr>
      </w:pPr>
      <w:r w:rsidRPr="00594731">
        <w:rPr>
          <w:color w:val="000000"/>
        </w:rPr>
        <w:t>_________________ № _____</w:t>
      </w: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ind w:left="5880"/>
        <w:jc w:val="both"/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  <w:r w:rsidRPr="0098658C">
        <w:rPr>
          <w:b/>
          <w:sz w:val="36"/>
          <w:szCs w:val="36"/>
        </w:rPr>
        <w:t>Програма</w:t>
      </w: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  <w:r w:rsidRPr="0098658C">
        <w:rPr>
          <w:b/>
          <w:sz w:val="36"/>
          <w:szCs w:val="36"/>
        </w:rPr>
        <w:t>розвитку малого</w:t>
      </w:r>
      <w:r w:rsidRPr="0098658C">
        <w:rPr>
          <w:b/>
          <w:sz w:val="36"/>
          <w:szCs w:val="36"/>
          <w:lang w:val="ru-RU"/>
        </w:rPr>
        <w:t xml:space="preserve"> </w:t>
      </w:r>
      <w:r w:rsidRPr="0098658C">
        <w:rPr>
          <w:b/>
          <w:sz w:val="36"/>
          <w:szCs w:val="36"/>
        </w:rPr>
        <w:t xml:space="preserve">і середнього підприємництва </w:t>
      </w:r>
      <w:r w:rsidRPr="0098658C">
        <w:rPr>
          <w:b/>
          <w:sz w:val="36"/>
          <w:szCs w:val="36"/>
        </w:rPr>
        <w:br/>
      </w:r>
      <w:r>
        <w:rPr>
          <w:b/>
          <w:sz w:val="36"/>
          <w:szCs w:val="36"/>
        </w:rPr>
        <w:t>в Рівненському районі</w:t>
      </w:r>
      <w:r w:rsidRPr="0098658C">
        <w:rPr>
          <w:b/>
          <w:sz w:val="36"/>
          <w:szCs w:val="36"/>
        </w:rPr>
        <w:t xml:space="preserve"> на 20</w:t>
      </w:r>
      <w:r w:rsidRPr="0098658C">
        <w:rPr>
          <w:b/>
          <w:sz w:val="36"/>
          <w:szCs w:val="36"/>
          <w:lang w:val="ru-RU"/>
        </w:rPr>
        <w:t>2</w:t>
      </w:r>
      <w:r>
        <w:rPr>
          <w:b/>
          <w:sz w:val="36"/>
          <w:szCs w:val="36"/>
          <w:lang w:val="ru-RU"/>
        </w:rPr>
        <w:t>4</w:t>
      </w:r>
      <w:r w:rsidRPr="0098658C">
        <w:rPr>
          <w:b/>
          <w:sz w:val="36"/>
          <w:szCs w:val="36"/>
        </w:rPr>
        <w:t xml:space="preserve"> – 202</w:t>
      </w:r>
      <w:r>
        <w:rPr>
          <w:b/>
          <w:sz w:val="36"/>
          <w:szCs w:val="36"/>
          <w:lang w:val="ru-RU"/>
        </w:rPr>
        <w:t>7</w:t>
      </w:r>
      <w:r w:rsidRPr="0098658C">
        <w:rPr>
          <w:b/>
          <w:sz w:val="36"/>
          <w:szCs w:val="36"/>
        </w:rPr>
        <w:t xml:space="preserve"> роки</w:t>
      </w: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jc w:val="center"/>
        <w:rPr>
          <w:b/>
          <w:sz w:val="36"/>
          <w:szCs w:val="36"/>
        </w:rPr>
      </w:pPr>
    </w:p>
    <w:p w:rsidR="00D074A9" w:rsidRPr="0098658C" w:rsidRDefault="00D074A9" w:rsidP="00D074A9">
      <w:pPr>
        <w:rPr>
          <w:b/>
          <w:sz w:val="36"/>
          <w:szCs w:val="36"/>
        </w:rPr>
      </w:pPr>
    </w:p>
    <w:p w:rsidR="00D074A9" w:rsidRPr="0098658C" w:rsidRDefault="00D074A9" w:rsidP="00D074A9">
      <w:pPr>
        <w:rPr>
          <w:b/>
          <w:sz w:val="36"/>
          <w:szCs w:val="36"/>
        </w:rPr>
      </w:pPr>
    </w:p>
    <w:p w:rsidR="00D074A9" w:rsidRPr="0098658C" w:rsidRDefault="00D074A9" w:rsidP="00D074A9">
      <w:pPr>
        <w:rPr>
          <w:b/>
          <w:sz w:val="36"/>
          <w:szCs w:val="36"/>
        </w:rPr>
      </w:pPr>
    </w:p>
    <w:p w:rsidR="00D074A9" w:rsidRPr="0098658C" w:rsidRDefault="00D074A9" w:rsidP="00D074A9">
      <w:pPr>
        <w:rPr>
          <w:b/>
          <w:sz w:val="36"/>
          <w:szCs w:val="36"/>
        </w:rPr>
      </w:pPr>
    </w:p>
    <w:p w:rsidR="00D074A9" w:rsidRPr="0098658C" w:rsidRDefault="00D074A9" w:rsidP="00D074A9">
      <w:pPr>
        <w:rPr>
          <w:b/>
          <w:sz w:val="36"/>
          <w:szCs w:val="36"/>
        </w:rPr>
      </w:pPr>
    </w:p>
    <w:p w:rsidR="00D074A9" w:rsidRPr="0098658C" w:rsidRDefault="00D074A9" w:rsidP="00D074A9">
      <w:pPr>
        <w:rPr>
          <w:b/>
          <w:sz w:val="36"/>
          <w:szCs w:val="36"/>
        </w:rPr>
      </w:pPr>
    </w:p>
    <w:p w:rsidR="00D074A9" w:rsidRDefault="00D074A9" w:rsidP="00D074A9">
      <w:pPr>
        <w:pStyle w:val="2"/>
        <w:ind w:left="0"/>
      </w:pPr>
      <w:r>
        <w:rPr>
          <w:b w:val="0"/>
          <w:bCs w:val="0"/>
        </w:rPr>
        <w:br w:type="page"/>
      </w:r>
      <w:r>
        <w:lastRenderedPageBreak/>
        <w:t>Загальні положення</w:t>
      </w:r>
    </w:p>
    <w:p w:rsidR="00D074A9" w:rsidRPr="00F05708" w:rsidRDefault="00D074A9" w:rsidP="00D074A9"/>
    <w:p w:rsidR="00D074A9" w:rsidRDefault="00D074A9" w:rsidP="00D074A9">
      <w:pPr>
        <w:ind w:firstLine="709"/>
        <w:jc w:val="both"/>
      </w:pPr>
      <w:bookmarkStart w:id="0" w:name="OLE_LINK1"/>
      <w:r w:rsidRPr="008F126A">
        <w:t xml:space="preserve">Програма розвитку малого і середнього підприємництва </w:t>
      </w:r>
      <w:r>
        <w:t>в Рівненському районі</w:t>
      </w:r>
      <w:r w:rsidRPr="008F126A">
        <w:t xml:space="preserve"> на </w:t>
      </w:r>
      <w:r w:rsidRPr="00A81E54">
        <w:t>202</w:t>
      </w:r>
      <w:r>
        <w:t>4</w:t>
      </w:r>
      <w:r w:rsidRPr="00A81E54">
        <w:t xml:space="preserve"> – 202</w:t>
      </w:r>
      <w:r>
        <w:t>7</w:t>
      </w:r>
      <w:r w:rsidRPr="00A81E54">
        <w:t xml:space="preserve"> роки</w:t>
      </w:r>
      <w:r w:rsidRPr="008F126A">
        <w:t xml:space="preserve"> розроблена відповідно </w:t>
      </w:r>
      <w:r>
        <w:t>до з</w:t>
      </w:r>
      <w:r w:rsidRPr="008D7416">
        <w:t>акон</w:t>
      </w:r>
      <w:r>
        <w:t>ів</w:t>
      </w:r>
      <w:r w:rsidRPr="008D7416">
        <w:t xml:space="preserve"> України</w:t>
      </w:r>
      <w:r>
        <w:t xml:space="preserve"> </w:t>
      </w:r>
      <w:r>
        <w:br/>
        <w:t>«Про правовий режим воєнного стану», «</w:t>
      </w:r>
      <w:r w:rsidRPr="008D7416">
        <w:t>Про місцеві державні адміністрації</w:t>
      </w:r>
      <w:r>
        <w:t>», «</w:t>
      </w:r>
      <w:r w:rsidRPr="00B0358C">
        <w:t>Про розвиток та державну підтримку мало</w:t>
      </w:r>
      <w:r>
        <w:t xml:space="preserve">го і середнього підприємництва </w:t>
      </w:r>
      <w:r>
        <w:br/>
      </w:r>
      <w:r w:rsidRPr="00B0358C">
        <w:t>в Україні</w:t>
      </w:r>
      <w:r>
        <w:t xml:space="preserve">», указів Президента України від 24 лютого 2022 року                                 № 64/2022 «Про введення воєнного стану в Україні» (зі змінами), від 24 лютого 2022 року № 68/2022 «Про утворення військових адміністрацій», </w:t>
      </w:r>
      <w:r>
        <w:rPr>
          <w:rFonts w:ascii="Times New Roman CYR" w:hAnsi="Times New Roman CYR" w:cs="Times New Roman CYR"/>
        </w:rPr>
        <w:t>розпорядження голови Рівненської обласної державної адміністрації – начальника Рівненської обласної військової адміністрації від 27 грудня              2023 року № 703 «Про Програму розвитку малого і середнього підприємництва в Рівненській області на 2024 – 2027 роки»</w:t>
      </w:r>
      <w:r w:rsidRPr="00D968D6">
        <w:t>,</w:t>
      </w:r>
      <w:r w:rsidRPr="00D968D6">
        <w:rPr>
          <w:color w:val="FF0000"/>
        </w:rPr>
        <w:t xml:space="preserve"> </w:t>
      </w:r>
      <w:r w:rsidRPr="008F126A">
        <w:t xml:space="preserve">а також пропозицій структурних підрозділів </w:t>
      </w:r>
      <w:r>
        <w:t>районної</w:t>
      </w:r>
      <w:r w:rsidRPr="008F126A">
        <w:t xml:space="preserve"> державної адміністрації, територіальних органів міністерств та інших центральних органів виконавчої влади, громадських організацій та об’єднань підприємців, сервісних установ.</w:t>
      </w:r>
      <w:bookmarkEnd w:id="0"/>
    </w:p>
    <w:p w:rsidR="00D074A9" w:rsidRDefault="00D074A9" w:rsidP="00D074A9">
      <w:pPr>
        <w:ind w:firstLine="709"/>
        <w:jc w:val="both"/>
      </w:pPr>
      <w:r>
        <w:t>Паспорт Програми наведено в додатку 1 до Програми.</w:t>
      </w:r>
    </w:p>
    <w:p w:rsidR="00D074A9" w:rsidRDefault="00D074A9" w:rsidP="00D074A9">
      <w:pPr>
        <w:ind w:firstLine="709"/>
        <w:jc w:val="center"/>
        <w:rPr>
          <w:b/>
          <w:w w:val="101"/>
        </w:rPr>
      </w:pPr>
    </w:p>
    <w:p w:rsidR="00D074A9" w:rsidRDefault="00D074A9" w:rsidP="00D074A9">
      <w:pPr>
        <w:jc w:val="center"/>
        <w:rPr>
          <w:b/>
          <w:w w:val="101"/>
        </w:rPr>
      </w:pPr>
      <w:r>
        <w:rPr>
          <w:b/>
          <w:w w:val="101"/>
        </w:rPr>
        <w:t>Мета Програми</w:t>
      </w:r>
    </w:p>
    <w:p w:rsidR="00D074A9" w:rsidRPr="00B6651E" w:rsidRDefault="00D074A9" w:rsidP="00D074A9">
      <w:pPr>
        <w:ind w:firstLine="709"/>
        <w:jc w:val="center"/>
        <w:rPr>
          <w:b/>
          <w:w w:val="101"/>
        </w:rPr>
      </w:pPr>
    </w:p>
    <w:p w:rsidR="00D074A9" w:rsidRDefault="00D074A9" w:rsidP="00D074A9">
      <w:pPr>
        <w:ind w:firstLine="709"/>
        <w:jc w:val="both"/>
      </w:pPr>
      <w:r>
        <w:t xml:space="preserve">Метою Програми є комплексна підтримка розвитку малого </w:t>
      </w:r>
      <w:r w:rsidRPr="005834AE">
        <w:t>і середнього підприємництва</w:t>
      </w:r>
      <w:r>
        <w:t xml:space="preserve"> в районі, </w:t>
      </w:r>
      <w:r w:rsidRPr="005834AE">
        <w:t>зростання його інвестиційної та інноваційної активності</w:t>
      </w:r>
      <w:r>
        <w:t>,</w:t>
      </w:r>
      <w:r w:rsidRPr="005834AE">
        <w:t xml:space="preserve"> підвищення рівня конкурентоспроможності в умовах </w:t>
      </w:r>
      <w:r>
        <w:t xml:space="preserve">воєнного стану на шляху до </w:t>
      </w:r>
      <w:r w:rsidRPr="005834AE">
        <w:t>євроінтеграції</w:t>
      </w:r>
      <w:r>
        <w:t>.</w:t>
      </w:r>
    </w:p>
    <w:p w:rsidR="00D074A9" w:rsidRPr="00EC197F" w:rsidRDefault="00D074A9" w:rsidP="00D074A9">
      <w:pPr>
        <w:ind w:firstLine="709"/>
        <w:jc w:val="both"/>
        <w:rPr>
          <w:color w:val="FF0000"/>
        </w:rPr>
      </w:pPr>
    </w:p>
    <w:p w:rsidR="00D074A9" w:rsidRDefault="00D074A9" w:rsidP="00D074A9">
      <w:pPr>
        <w:pStyle w:val="3"/>
      </w:pPr>
      <w:r>
        <w:t>Основні завдання і заходи Програми</w:t>
      </w:r>
    </w:p>
    <w:p w:rsidR="00D074A9" w:rsidRPr="00F05708" w:rsidRDefault="00D074A9" w:rsidP="00D074A9"/>
    <w:p w:rsidR="00D074A9" w:rsidRDefault="00D074A9" w:rsidP="00D074A9">
      <w:pPr>
        <w:tabs>
          <w:tab w:val="left" w:pos="403"/>
          <w:tab w:val="left" w:pos="512"/>
          <w:tab w:val="left" w:pos="1134"/>
        </w:tabs>
        <w:ind w:firstLine="709"/>
        <w:jc w:val="both"/>
        <w:rPr>
          <w:w w:val="101"/>
        </w:rPr>
      </w:pPr>
      <w:r>
        <w:t>Основними завданнями розвитку</w:t>
      </w:r>
      <w:r w:rsidRPr="001532ED">
        <w:rPr>
          <w:b/>
          <w:w w:val="101"/>
        </w:rPr>
        <w:t xml:space="preserve"> </w:t>
      </w:r>
      <w:r w:rsidRPr="001532ED">
        <w:rPr>
          <w:w w:val="101"/>
        </w:rPr>
        <w:t xml:space="preserve">малого </w:t>
      </w:r>
      <w:r w:rsidRPr="001532ED">
        <w:t xml:space="preserve">і середнього </w:t>
      </w:r>
      <w:r>
        <w:rPr>
          <w:w w:val="101"/>
        </w:rPr>
        <w:t>підприємництва на 20</w:t>
      </w:r>
      <w:r>
        <w:rPr>
          <w:w w:val="101"/>
          <w:lang w:val="ru-RU"/>
        </w:rPr>
        <w:t>24</w:t>
      </w:r>
      <w:r>
        <w:rPr>
          <w:w w:val="101"/>
        </w:rPr>
        <w:t xml:space="preserve"> – 202</w:t>
      </w:r>
      <w:r>
        <w:rPr>
          <w:w w:val="101"/>
          <w:lang w:val="ru-RU"/>
        </w:rPr>
        <w:t>7</w:t>
      </w:r>
      <w:r>
        <w:rPr>
          <w:w w:val="101"/>
        </w:rPr>
        <w:t xml:space="preserve"> </w:t>
      </w:r>
      <w:r w:rsidRPr="001532ED">
        <w:rPr>
          <w:w w:val="101"/>
        </w:rPr>
        <w:t>роки</w:t>
      </w:r>
      <w:r>
        <w:rPr>
          <w:w w:val="101"/>
        </w:rPr>
        <w:t xml:space="preserve"> є:</w:t>
      </w:r>
    </w:p>
    <w:p w:rsidR="00D074A9" w:rsidRPr="004E2397" w:rsidRDefault="00D074A9" w:rsidP="00D074A9">
      <w:pPr>
        <w:tabs>
          <w:tab w:val="left" w:pos="403"/>
          <w:tab w:val="left" w:pos="512"/>
          <w:tab w:val="left" w:pos="1134"/>
        </w:tabs>
        <w:ind w:firstLine="709"/>
        <w:jc w:val="both"/>
      </w:pPr>
      <w:r w:rsidRPr="00360B61">
        <w:t>надання фінансової підтримки суб’єктам малого і середнього підприємництва</w:t>
      </w:r>
      <w:r>
        <w:t>, які виготовляють товари оборонного призначення або надають послуги у цій сфері</w:t>
      </w:r>
      <w:r w:rsidRPr="00393A1A">
        <w:t>;</w:t>
      </w:r>
    </w:p>
    <w:p w:rsidR="00D074A9" w:rsidRPr="00360B61" w:rsidRDefault="00D074A9" w:rsidP="00D074A9">
      <w:pPr>
        <w:tabs>
          <w:tab w:val="left" w:pos="403"/>
          <w:tab w:val="left" w:pos="512"/>
          <w:tab w:val="left" w:pos="1134"/>
        </w:tabs>
        <w:ind w:firstLine="709"/>
        <w:jc w:val="both"/>
      </w:pPr>
      <w:r w:rsidRPr="00360B61">
        <w:t>забезпечення організаційної, інформаційно-консультативної, навчально-методичної та ресурсної підтримки розвитку малого і середнього підприємництва місцевими органами виконавчої влади</w:t>
      </w:r>
      <w:r>
        <w:t xml:space="preserve"> та органами місцевого самоврядування</w:t>
      </w:r>
      <w:r w:rsidRPr="00360B61">
        <w:t>;</w:t>
      </w:r>
    </w:p>
    <w:p w:rsidR="00D074A9" w:rsidRDefault="00D074A9" w:rsidP="00D074A9">
      <w:pPr>
        <w:tabs>
          <w:tab w:val="left" w:pos="403"/>
          <w:tab w:val="left" w:pos="512"/>
          <w:tab w:val="left" w:pos="1134"/>
        </w:tabs>
        <w:ind w:firstLine="709"/>
        <w:jc w:val="both"/>
      </w:pPr>
      <w:r w:rsidRPr="00360B61">
        <w:t xml:space="preserve">координація дій органів виконавчої влади </w:t>
      </w:r>
      <w:r>
        <w:t>району</w:t>
      </w:r>
      <w:r w:rsidRPr="00360B61">
        <w:t xml:space="preserve"> усіх рівнів щодо забезпечення, в рамках повноважень цих органів, належних умов для започаткування та ведення підприємництва, недопущення </w:t>
      </w:r>
      <w:r>
        <w:rPr>
          <w:color w:val="000000"/>
        </w:rPr>
        <w:t>необґрунто</w:t>
      </w:r>
      <w:r w:rsidRPr="004B3FCC">
        <w:rPr>
          <w:color w:val="000000"/>
        </w:rPr>
        <w:t>ваного</w:t>
      </w:r>
      <w:r w:rsidRPr="00360B61">
        <w:t xml:space="preserve"> втручання владних структур у господарську діяльність; </w:t>
      </w:r>
    </w:p>
    <w:p w:rsidR="00D074A9" w:rsidRDefault="00D074A9" w:rsidP="00D074A9">
      <w:pPr>
        <w:tabs>
          <w:tab w:val="left" w:pos="403"/>
          <w:tab w:val="left" w:pos="512"/>
          <w:tab w:val="left" w:pos="1134"/>
        </w:tabs>
        <w:ind w:firstLine="709"/>
        <w:jc w:val="both"/>
        <w:rPr>
          <w:w w:val="101"/>
        </w:rPr>
      </w:pPr>
      <w:r w:rsidRPr="00360B61">
        <w:rPr>
          <w:w w:val="101"/>
        </w:rPr>
        <w:t>забезпечення співпраці місцевих органів виконавчої влади із громадськими об</w:t>
      </w:r>
      <w:r w:rsidRPr="00360B61">
        <w:t>’</w:t>
      </w:r>
      <w:r w:rsidRPr="00360B61">
        <w:rPr>
          <w:w w:val="101"/>
        </w:rPr>
        <w:t>єднаннями підприємців.</w:t>
      </w:r>
    </w:p>
    <w:p w:rsidR="00D074A9" w:rsidRPr="00CA4833" w:rsidRDefault="00D074A9" w:rsidP="00D074A9">
      <w:pPr>
        <w:ind w:firstLine="709"/>
        <w:jc w:val="both"/>
      </w:pPr>
      <w:r w:rsidRPr="00D65BD2">
        <w:rPr>
          <w:bCs/>
        </w:rPr>
        <w:t xml:space="preserve">Заходи щодо реалізації </w:t>
      </w:r>
      <w:r w:rsidRPr="00D65BD2">
        <w:t>Програми</w:t>
      </w:r>
      <w:r w:rsidRPr="00D65BD2">
        <w:rPr>
          <w:lang w:val="ru-RU"/>
        </w:rPr>
        <w:t xml:space="preserve"> </w:t>
      </w:r>
      <w:r w:rsidRPr="00D65BD2">
        <w:t>розвитку малого і середнього підприємництва на 2024 – 2027 роки</w:t>
      </w:r>
      <w:r>
        <w:t xml:space="preserve"> </w:t>
      </w:r>
      <w:r w:rsidRPr="00D65BD2">
        <w:rPr>
          <w:w w:val="101"/>
        </w:rPr>
        <w:t>наведені у додатку 2 до Програми</w:t>
      </w:r>
      <w:r>
        <w:rPr>
          <w:w w:val="101"/>
        </w:rPr>
        <w:t>.</w:t>
      </w:r>
    </w:p>
    <w:p w:rsidR="00D074A9" w:rsidRDefault="00D074A9" w:rsidP="00D074A9">
      <w:pPr>
        <w:pStyle w:val="a5"/>
        <w:tabs>
          <w:tab w:val="left" w:pos="437"/>
          <w:tab w:val="left" w:pos="655"/>
          <w:tab w:val="left" w:pos="982"/>
        </w:tabs>
        <w:ind w:left="1" w:firstLine="708"/>
        <w:jc w:val="both"/>
        <w:rPr>
          <w:b w:val="0"/>
        </w:rPr>
      </w:pPr>
    </w:p>
    <w:p w:rsidR="00D074A9" w:rsidRDefault="00D074A9" w:rsidP="00D074A9">
      <w:pPr>
        <w:jc w:val="center"/>
        <w:rPr>
          <w:b/>
        </w:rPr>
      </w:pPr>
      <w:r>
        <w:rPr>
          <w:b/>
        </w:rPr>
        <w:lastRenderedPageBreak/>
        <w:t>Очікувані показники результативності виконання заходів Програми</w:t>
      </w:r>
    </w:p>
    <w:p w:rsidR="00D074A9" w:rsidRDefault="00D074A9" w:rsidP="00D074A9">
      <w:pPr>
        <w:ind w:left="567"/>
        <w:jc w:val="center"/>
        <w:rPr>
          <w:b/>
        </w:rPr>
      </w:pPr>
    </w:p>
    <w:p w:rsidR="00D074A9" w:rsidRPr="00137343" w:rsidRDefault="00D074A9" w:rsidP="00D074A9">
      <w:pPr>
        <w:pStyle w:val="3"/>
        <w:tabs>
          <w:tab w:val="left" w:pos="-2127"/>
          <w:tab w:val="num" w:pos="0"/>
          <w:tab w:val="left" w:pos="1134"/>
        </w:tabs>
        <w:ind w:firstLine="709"/>
        <w:jc w:val="both"/>
        <w:rPr>
          <w:b w:val="0"/>
        </w:rPr>
      </w:pPr>
      <w:r>
        <w:rPr>
          <w:b w:val="0"/>
        </w:rPr>
        <w:t>Очікувані п</w:t>
      </w:r>
      <w:r w:rsidRPr="00137343">
        <w:rPr>
          <w:b w:val="0"/>
        </w:rPr>
        <w:t>оказники результативності виконання заходів Програми</w:t>
      </w:r>
      <w:r>
        <w:rPr>
          <w:b w:val="0"/>
        </w:rPr>
        <w:t xml:space="preserve"> </w:t>
      </w:r>
      <w:r w:rsidRPr="00067AF1">
        <w:rPr>
          <w:b w:val="0"/>
        </w:rPr>
        <w:t>розвитку малого і середнього підприємництва на 2024 – 2027 роки наведені у додатку 3 до Програми.</w:t>
      </w:r>
    </w:p>
    <w:p w:rsidR="00D074A9" w:rsidRDefault="00D074A9" w:rsidP="00D074A9">
      <w:pPr>
        <w:pStyle w:val="3"/>
        <w:tabs>
          <w:tab w:val="left" w:pos="-2127"/>
          <w:tab w:val="num" w:pos="0"/>
          <w:tab w:val="left" w:pos="1134"/>
        </w:tabs>
        <w:ind w:firstLine="709"/>
      </w:pPr>
    </w:p>
    <w:p w:rsidR="00D074A9" w:rsidRDefault="00D074A9" w:rsidP="00D074A9">
      <w:pPr>
        <w:pStyle w:val="3"/>
        <w:tabs>
          <w:tab w:val="left" w:pos="-2127"/>
          <w:tab w:val="num" w:pos="0"/>
          <w:tab w:val="left" w:pos="1134"/>
        </w:tabs>
      </w:pPr>
      <w:r>
        <w:t xml:space="preserve">Моніторинг виконання Програми та контроль </w:t>
      </w:r>
      <w:r>
        <w:br/>
        <w:t>за реалізацією її заходів</w:t>
      </w:r>
    </w:p>
    <w:p w:rsidR="00D074A9" w:rsidRPr="00794882" w:rsidRDefault="00D074A9" w:rsidP="00D074A9"/>
    <w:p w:rsidR="00D074A9" w:rsidRDefault="00D074A9" w:rsidP="00D074A9">
      <w:pPr>
        <w:ind w:firstLine="709"/>
        <w:jc w:val="both"/>
      </w:pPr>
      <w:r>
        <w:t xml:space="preserve">Аналіз та моніторинг ходу виконання Програми здійснює </w:t>
      </w:r>
      <w:r w:rsidRPr="00CC656D">
        <w:t>управління економічного та агропромислового розвитку, житлово-комунального господарства, містобудування, архітектури райдержадміністрації</w:t>
      </w:r>
      <w:r>
        <w:t>.</w:t>
      </w:r>
    </w:p>
    <w:p w:rsidR="00D074A9" w:rsidRDefault="00D074A9" w:rsidP="00D074A9">
      <w:pPr>
        <w:ind w:firstLine="709"/>
        <w:jc w:val="both"/>
      </w:pPr>
      <w:r w:rsidRPr="00BE08F0">
        <w:t xml:space="preserve">Головним розпорядником коштів </w:t>
      </w:r>
      <w:r>
        <w:t xml:space="preserve">районного бюджету, виділених </w:t>
      </w:r>
      <w:r>
        <w:br/>
        <w:t xml:space="preserve">на реалізацію Програми, </w:t>
      </w:r>
      <w:r w:rsidRPr="00BE08F0">
        <w:t xml:space="preserve">є </w:t>
      </w:r>
      <w:r>
        <w:t>Рівненська районна державна адміністрація – Рівненська районна військова адміністрація.</w:t>
      </w:r>
    </w:p>
    <w:p w:rsidR="00D074A9" w:rsidRDefault="00D074A9" w:rsidP="00D074A9">
      <w:pPr>
        <w:ind w:firstLine="709"/>
        <w:jc w:val="both"/>
      </w:pPr>
      <w:r>
        <w:t>І</w:t>
      </w:r>
      <w:r w:rsidRPr="00672F31">
        <w:t xml:space="preserve">нформація </w:t>
      </w:r>
      <w:r>
        <w:t>про хід виконання Програми щокварталу по</w:t>
      </w:r>
      <w:r w:rsidRPr="00672F31">
        <w:t xml:space="preserve">дається </w:t>
      </w:r>
      <w:r>
        <w:t>Департаменту економічного розвитку і торгівлі Рівненської обласної державної адміністрації та Рівненській районній державній адміністрації – Рівненській районній військовій адміністрації</w:t>
      </w:r>
      <w:r w:rsidRPr="00672F31">
        <w:t>.</w:t>
      </w:r>
    </w:p>
    <w:p w:rsidR="00D074A9" w:rsidRDefault="00D074A9" w:rsidP="00D074A9">
      <w:pPr>
        <w:ind w:left="7797"/>
        <w:rPr>
          <w:snapToGrid w:val="0"/>
        </w:rPr>
      </w:pPr>
    </w:p>
    <w:p w:rsidR="00D074A9" w:rsidRDefault="00D074A9" w:rsidP="00D074A9">
      <w:pPr>
        <w:ind w:left="7797"/>
      </w:pPr>
    </w:p>
    <w:p w:rsidR="00D074A9" w:rsidRDefault="00D074A9" w:rsidP="00D074A9">
      <w:pPr>
        <w:ind w:left="7797"/>
      </w:pPr>
      <w:r>
        <w:t xml:space="preserve"> </w:t>
      </w:r>
    </w:p>
    <w:p w:rsidR="00D074A9" w:rsidRDefault="00D074A9" w:rsidP="00D074A9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економічного</w:t>
      </w:r>
    </w:p>
    <w:p w:rsidR="00D074A9" w:rsidRDefault="00D074A9" w:rsidP="00D074A9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агропромислового розвитку, </w:t>
      </w:r>
    </w:p>
    <w:p w:rsidR="00D074A9" w:rsidRDefault="00D074A9" w:rsidP="00D074A9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житлово-комунального господарства,</w:t>
      </w:r>
    </w:p>
    <w:p w:rsidR="00D074A9" w:rsidRDefault="00D074A9" w:rsidP="00D074A9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архітектури</w:t>
      </w:r>
    </w:p>
    <w:p w:rsidR="00D074A9" w:rsidRDefault="00D074A9" w:rsidP="00D074A9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райдержадміністрації                                                             Оксана СИТНИЦЬКА</w:t>
      </w:r>
    </w:p>
    <w:p w:rsidR="00D074A9" w:rsidRDefault="00D074A9" w:rsidP="00D074A9">
      <w:pPr>
        <w:jc w:val="both"/>
      </w:pPr>
    </w:p>
    <w:p w:rsidR="00E46722" w:rsidRDefault="00E46722"/>
    <w:sectPr w:rsidR="00E46722" w:rsidSect="00067AF1">
      <w:headerReference w:type="default" r:id="rId4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7C56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A9"/>
    <w:rsid w:val="003A272B"/>
    <w:rsid w:val="00D074A9"/>
    <w:rsid w:val="00E4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2B3B6D-2C78-664F-899D-F640E050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A9"/>
    <w:pPr>
      <w:autoSpaceDE w:val="0"/>
      <w:autoSpaceDN w:val="0"/>
    </w:pPr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paragraph" w:styleId="2">
    <w:name w:val="heading 2"/>
    <w:basedOn w:val="a"/>
    <w:next w:val="a"/>
    <w:link w:val="20"/>
    <w:qFormat/>
    <w:rsid w:val="00D074A9"/>
    <w:pPr>
      <w:keepNext/>
      <w:tabs>
        <w:tab w:val="left" w:pos="1276"/>
      </w:tabs>
      <w:ind w:left="709"/>
      <w:jc w:val="center"/>
      <w:outlineLvl w:val="1"/>
    </w:pPr>
    <w:rPr>
      <w:b/>
      <w:bCs/>
      <w:w w:val="101"/>
    </w:rPr>
  </w:style>
  <w:style w:type="paragraph" w:styleId="3">
    <w:name w:val="heading 3"/>
    <w:basedOn w:val="a"/>
    <w:next w:val="a"/>
    <w:link w:val="30"/>
    <w:qFormat/>
    <w:rsid w:val="00D074A9"/>
    <w:pPr>
      <w:keepNext/>
      <w:tabs>
        <w:tab w:val="left" w:pos="-1560"/>
      </w:tabs>
      <w:jc w:val="center"/>
      <w:outlineLvl w:val="2"/>
    </w:pPr>
    <w:rPr>
      <w:b/>
      <w:bCs/>
      <w:w w:val="10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74A9"/>
    <w:rPr>
      <w:rFonts w:ascii="Times New Roman" w:eastAsia="Times New Roman" w:hAnsi="Times New Roman" w:cs="Times New Roman"/>
      <w:b/>
      <w:bCs/>
      <w:w w:val="101"/>
      <w:kern w:val="0"/>
      <w:sz w:val="28"/>
      <w:szCs w:val="28"/>
      <w:lang w:val="uk-UA" w:eastAsia="ru-RU"/>
      <w14:ligatures w14:val="none"/>
    </w:rPr>
  </w:style>
  <w:style w:type="character" w:customStyle="1" w:styleId="30">
    <w:name w:val="Заголовок 3 Знак"/>
    <w:basedOn w:val="a0"/>
    <w:link w:val="3"/>
    <w:rsid w:val="00D074A9"/>
    <w:rPr>
      <w:rFonts w:ascii="Times New Roman" w:eastAsia="Times New Roman" w:hAnsi="Times New Roman" w:cs="Times New Roman"/>
      <w:b/>
      <w:bCs/>
      <w:w w:val="101"/>
      <w:kern w:val="0"/>
      <w:sz w:val="28"/>
      <w:szCs w:val="28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rsid w:val="00D074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4A9"/>
    <w:rPr>
      <w:rFonts w:ascii="Times New Roman" w:eastAsia="Times New Roman" w:hAnsi="Times New Roman" w:cs="Times New Roman"/>
      <w:kern w:val="0"/>
      <w:sz w:val="28"/>
      <w:szCs w:val="28"/>
      <w:lang w:val="uk-UA" w:eastAsia="ru-RU"/>
      <w14:ligatures w14:val="none"/>
    </w:rPr>
  </w:style>
  <w:style w:type="paragraph" w:styleId="a5">
    <w:name w:val="Title"/>
    <w:basedOn w:val="a"/>
    <w:link w:val="a6"/>
    <w:qFormat/>
    <w:rsid w:val="00D074A9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D074A9"/>
    <w:rPr>
      <w:rFonts w:ascii="Times New Roman" w:eastAsia="Times New Roman" w:hAnsi="Times New Roman" w:cs="Times New Roman"/>
      <w:b/>
      <w:bCs/>
      <w:kern w:val="0"/>
      <w:sz w:val="28"/>
      <w:szCs w:val="28"/>
      <w:lang w:val="uk-UA" w:eastAsia="ru-RU"/>
      <w14:ligatures w14:val="none"/>
    </w:rPr>
  </w:style>
  <w:style w:type="paragraph" w:styleId="a7">
    <w:basedOn w:val="a"/>
    <w:next w:val="a8"/>
    <w:rsid w:val="00D074A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D074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2024-02-13T08:20:00Z</dcterms:created>
  <dcterms:modified xsi:type="dcterms:W3CDTF">2024-02-13T08:21:00Z</dcterms:modified>
</cp:coreProperties>
</file>