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F8A" w:rsidRPr="00F12C98" w:rsidRDefault="00503F8A" w:rsidP="00503F8A">
      <w:pPr>
        <w:ind w:left="13183"/>
      </w:pPr>
      <w:r w:rsidRPr="00F12C98">
        <w:t xml:space="preserve">Додаток 2 </w:t>
      </w:r>
    </w:p>
    <w:p w:rsidR="00503F8A" w:rsidRDefault="00503F8A" w:rsidP="00503F8A">
      <w:pPr>
        <w:ind w:left="13183"/>
      </w:pPr>
      <w:r w:rsidRPr="00F12C98">
        <w:t>до Програми</w:t>
      </w:r>
    </w:p>
    <w:p w:rsidR="00503F8A" w:rsidRDefault="00503F8A" w:rsidP="00503F8A">
      <w:pPr>
        <w:ind w:left="13183"/>
      </w:pPr>
    </w:p>
    <w:p w:rsidR="00503F8A" w:rsidRPr="000E39AD" w:rsidRDefault="00503F8A" w:rsidP="00503F8A">
      <w:pPr>
        <w:ind w:left="13183"/>
      </w:pPr>
    </w:p>
    <w:p w:rsidR="00503F8A" w:rsidRDefault="00503F8A" w:rsidP="00503F8A">
      <w:pPr>
        <w:spacing w:before="240" w:after="240"/>
        <w:ind w:left="-284" w:right="-459"/>
        <w:jc w:val="center"/>
        <w:rPr>
          <w:b/>
        </w:rPr>
      </w:pPr>
      <w:r w:rsidRPr="00F12C98">
        <w:rPr>
          <w:b/>
          <w:bCs/>
        </w:rPr>
        <w:t xml:space="preserve">Заходи щодо реалізації </w:t>
      </w:r>
      <w:r w:rsidRPr="00F12C98">
        <w:rPr>
          <w:b/>
        </w:rPr>
        <w:t>Програми</w:t>
      </w:r>
      <w:r w:rsidRPr="00F12C98">
        <w:rPr>
          <w:b/>
          <w:lang w:val="ru-RU"/>
        </w:rPr>
        <w:t xml:space="preserve"> </w:t>
      </w:r>
      <w:r w:rsidRPr="00F12C98">
        <w:rPr>
          <w:b/>
        </w:rPr>
        <w:t>розвитку малого і середнього підприємництва на 2024 – 2027 роки</w:t>
      </w:r>
    </w:p>
    <w:p w:rsidR="00503F8A" w:rsidRDefault="00503F8A" w:rsidP="00503F8A">
      <w:pPr>
        <w:spacing w:before="240" w:after="240"/>
        <w:ind w:left="-284" w:right="-459"/>
        <w:jc w:val="center"/>
        <w:rPr>
          <w:b/>
        </w:rPr>
      </w:pPr>
    </w:p>
    <w:tbl>
      <w:tblPr>
        <w:tblW w:w="1475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417"/>
        <w:gridCol w:w="4111"/>
        <w:gridCol w:w="1843"/>
        <w:gridCol w:w="709"/>
        <w:gridCol w:w="708"/>
        <w:gridCol w:w="709"/>
        <w:gridCol w:w="709"/>
        <w:gridCol w:w="14"/>
      </w:tblGrid>
      <w:tr w:rsidR="00503F8A" w:rsidRPr="000E05CB" w:rsidTr="00D31540">
        <w:trPr>
          <w:gridAfter w:val="1"/>
          <w:wAfter w:w="14" w:type="dxa"/>
          <w:trHeight w:val="537"/>
        </w:trPr>
        <w:tc>
          <w:tcPr>
            <w:tcW w:w="567" w:type="dxa"/>
            <w:vMerge w:val="restart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3F8A" w:rsidRPr="00B95504" w:rsidRDefault="00503F8A" w:rsidP="00D31540">
            <w:pPr>
              <w:ind w:left="-115" w:right="-110"/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 xml:space="preserve">Кошти </w:t>
            </w:r>
            <w:r>
              <w:rPr>
                <w:b/>
                <w:sz w:val="24"/>
                <w:szCs w:val="24"/>
              </w:rPr>
              <w:t>районного</w:t>
            </w:r>
            <w:r w:rsidRPr="00B95504">
              <w:rPr>
                <w:b/>
                <w:sz w:val="24"/>
                <w:szCs w:val="24"/>
              </w:rPr>
              <w:t xml:space="preserve"> бюджету, тис.</w:t>
            </w:r>
            <w:r w:rsidRPr="00B9550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95504">
              <w:rPr>
                <w:b/>
                <w:sz w:val="24"/>
                <w:szCs w:val="24"/>
              </w:rPr>
              <w:t>гривень</w:t>
            </w:r>
          </w:p>
        </w:tc>
      </w:tr>
      <w:tr w:rsidR="00503F8A" w:rsidRPr="000E05CB" w:rsidTr="00D31540">
        <w:trPr>
          <w:gridAfter w:val="1"/>
          <w:wAfter w:w="14" w:type="dxa"/>
          <w:trHeight w:val="576"/>
        </w:trPr>
        <w:tc>
          <w:tcPr>
            <w:tcW w:w="567" w:type="dxa"/>
            <w:vMerge/>
          </w:tcPr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20</w:t>
            </w:r>
            <w:r w:rsidRPr="00B95504">
              <w:rPr>
                <w:b/>
                <w:sz w:val="24"/>
                <w:szCs w:val="24"/>
                <w:lang w:val="en-US"/>
              </w:rPr>
              <w:t>2</w:t>
            </w:r>
            <w:r w:rsidRPr="00B95504">
              <w:rPr>
                <w:b/>
                <w:sz w:val="24"/>
                <w:szCs w:val="24"/>
              </w:rPr>
              <w:t>4</w:t>
            </w:r>
            <w:r w:rsidRPr="00B9550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20</w:t>
            </w:r>
            <w:r w:rsidRPr="00B95504">
              <w:rPr>
                <w:b/>
                <w:sz w:val="24"/>
                <w:szCs w:val="24"/>
                <w:lang w:val="en-US"/>
              </w:rPr>
              <w:t>2</w:t>
            </w:r>
            <w:r w:rsidRPr="00B95504">
              <w:rPr>
                <w:b/>
                <w:sz w:val="24"/>
                <w:szCs w:val="24"/>
              </w:rPr>
              <w:t>5</w:t>
            </w:r>
            <w:r w:rsidRPr="00B9550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2026</w:t>
            </w:r>
            <w:r w:rsidRPr="00B95504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/>
                <w:sz w:val="24"/>
                <w:szCs w:val="24"/>
              </w:rPr>
              <w:t>рік</w:t>
            </w:r>
          </w:p>
        </w:tc>
        <w:tc>
          <w:tcPr>
            <w:tcW w:w="709" w:type="dxa"/>
            <w:vAlign w:val="center"/>
          </w:tcPr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2027</w:t>
            </w:r>
          </w:p>
          <w:p w:rsidR="00503F8A" w:rsidRPr="00B95504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B95504">
              <w:rPr>
                <w:b/>
                <w:sz w:val="24"/>
                <w:szCs w:val="24"/>
              </w:rPr>
              <w:t>рік</w:t>
            </w:r>
          </w:p>
        </w:tc>
      </w:tr>
      <w:tr w:rsidR="00503F8A" w:rsidRPr="000E05CB" w:rsidTr="00D31540">
        <w:tc>
          <w:tcPr>
            <w:tcW w:w="14756" w:type="dxa"/>
            <w:gridSpan w:val="10"/>
          </w:tcPr>
          <w:p w:rsidR="00503F8A" w:rsidRPr="00B95504" w:rsidRDefault="00503F8A" w:rsidP="00D3154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Фінансова підтримка суб’єктів малого і середнього підприємництва</w:t>
            </w:r>
          </w:p>
        </w:tc>
      </w:tr>
      <w:tr w:rsidR="00503F8A" w:rsidRPr="000E05CB" w:rsidTr="00D31540">
        <w:trPr>
          <w:gridAfter w:val="1"/>
          <w:wAfter w:w="14" w:type="dxa"/>
        </w:trPr>
        <w:tc>
          <w:tcPr>
            <w:tcW w:w="567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jc w:val="both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 xml:space="preserve">Забезпечення часткового відшкодування відсоткових ставок за кредитами (позиками), що надаються для реалізації </w:t>
            </w:r>
            <w:proofErr w:type="spellStart"/>
            <w:r w:rsidRPr="00B95504">
              <w:rPr>
                <w:sz w:val="24"/>
                <w:szCs w:val="24"/>
              </w:rPr>
              <w:t>проєктів</w:t>
            </w:r>
            <w:proofErr w:type="spellEnd"/>
            <w:r w:rsidRPr="00B95504">
              <w:rPr>
                <w:sz w:val="24"/>
                <w:szCs w:val="24"/>
              </w:rPr>
              <w:t xml:space="preserve"> суб’єктів малого і середнього підприємництва 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>правління економічного та агропромислового розвитку, житлово-комунального господарства, містобудування, архітектури райдержадміністрації</w:t>
            </w:r>
            <w:r>
              <w:rPr>
                <w:sz w:val="24"/>
                <w:szCs w:val="24"/>
              </w:rPr>
              <w:t xml:space="preserve">, </w:t>
            </w:r>
            <w:r w:rsidRPr="00B95504">
              <w:rPr>
                <w:sz w:val="24"/>
                <w:szCs w:val="24"/>
              </w:rPr>
              <w:t xml:space="preserve">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>рад, 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Районний</w:t>
            </w:r>
            <w:r w:rsidRPr="00B95504">
              <w:rPr>
                <w:sz w:val="24"/>
                <w:szCs w:val="24"/>
              </w:rPr>
              <w:t xml:space="preserve"> бюджет</w:t>
            </w:r>
          </w:p>
          <w:p w:rsidR="00503F8A" w:rsidRPr="00B95504" w:rsidRDefault="00503F8A" w:rsidP="00D31540">
            <w:pPr>
              <w:rPr>
                <w:sz w:val="24"/>
                <w:szCs w:val="24"/>
              </w:rPr>
            </w:pP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Місцеві бюджети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503F8A" w:rsidRPr="00957E28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503F8A" w:rsidRPr="000E05CB" w:rsidTr="00D31540">
        <w:trPr>
          <w:gridAfter w:val="1"/>
          <w:wAfter w:w="14" w:type="dxa"/>
        </w:trPr>
        <w:tc>
          <w:tcPr>
            <w:tcW w:w="567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jc w:val="both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Часткова компенсація витрат суб’єктів підприємницької діяльності, пов’язаних із придбанням обладнання, в тому числі для виготовлення товарів оборонного призначення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>правління економічного та агропромислового розвитку, житлово-комунального господарства, містобудування, архітектури райдержадміністрації</w:t>
            </w:r>
            <w:r>
              <w:rPr>
                <w:sz w:val="24"/>
                <w:szCs w:val="24"/>
              </w:rPr>
              <w:t xml:space="preserve">, </w:t>
            </w:r>
            <w:r w:rsidRPr="00B95504">
              <w:rPr>
                <w:sz w:val="24"/>
                <w:szCs w:val="24"/>
              </w:rPr>
              <w:t xml:space="preserve">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>рад, 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Районний</w:t>
            </w:r>
            <w:r w:rsidRPr="00B95504">
              <w:rPr>
                <w:sz w:val="24"/>
                <w:szCs w:val="24"/>
              </w:rPr>
              <w:t xml:space="preserve"> </w:t>
            </w: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бюджет</w:t>
            </w: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Інші джерела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503F8A" w:rsidRPr="00957E28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503F8A" w:rsidRPr="000E05CB" w:rsidTr="00D31540">
        <w:trPr>
          <w:gridAfter w:val="1"/>
          <w:wAfter w:w="14" w:type="dxa"/>
        </w:trPr>
        <w:tc>
          <w:tcPr>
            <w:tcW w:w="567" w:type="dxa"/>
          </w:tcPr>
          <w:p w:rsidR="00503F8A" w:rsidRPr="00B95504" w:rsidRDefault="00503F8A" w:rsidP="00D31540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9550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Відшкодування частини вартості витрат, пов’язаних із оплатою послуг за навчання, підвищення </w:t>
            </w:r>
            <w:r w:rsidRPr="00B9550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кваліфікації та перепідготовку кадрів для суб’єктів малого і середнього підприємництва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lastRenderedPageBreak/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 xml:space="preserve">правління економічного та агропромислового розвитку, житлово-комунального господарства, </w:t>
            </w:r>
            <w:r w:rsidRPr="000E39AD">
              <w:rPr>
                <w:sz w:val="24"/>
                <w:szCs w:val="24"/>
              </w:rPr>
              <w:lastRenderedPageBreak/>
              <w:t>містобудування, архітектури</w:t>
            </w:r>
            <w:r>
              <w:rPr>
                <w:sz w:val="24"/>
                <w:szCs w:val="24"/>
              </w:rPr>
              <w:t xml:space="preserve"> райдержадміністрації, управління охорони здоров’я, освіти, культури, спорту райдержадміністрації,  </w:t>
            </w:r>
            <w:r w:rsidRPr="00B95504">
              <w:rPr>
                <w:sz w:val="24"/>
                <w:szCs w:val="24"/>
              </w:rPr>
              <w:t xml:space="preserve">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 xml:space="preserve">рад, </w:t>
            </w:r>
            <w:r>
              <w:rPr>
                <w:sz w:val="24"/>
                <w:szCs w:val="24"/>
              </w:rPr>
              <w:t>Рівненська філія Рівненського обласного</w:t>
            </w:r>
            <w:r w:rsidRPr="00B95504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у</w:t>
            </w:r>
            <w:r w:rsidRPr="00B95504">
              <w:rPr>
                <w:sz w:val="24"/>
                <w:szCs w:val="24"/>
              </w:rPr>
              <w:t xml:space="preserve"> зайнятості, </w:t>
            </w:r>
            <w:r w:rsidRPr="00B95504">
              <w:rPr>
                <w:bCs/>
                <w:sz w:val="24"/>
                <w:szCs w:val="24"/>
              </w:rPr>
              <w:t>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Районний</w:t>
            </w:r>
            <w:r w:rsidRPr="00B95504">
              <w:rPr>
                <w:sz w:val="24"/>
                <w:szCs w:val="24"/>
              </w:rPr>
              <w:t xml:space="preserve"> бюджет</w:t>
            </w:r>
          </w:p>
          <w:p w:rsidR="00503F8A" w:rsidRPr="00B95504" w:rsidRDefault="00503F8A" w:rsidP="00D31540">
            <w:pPr>
              <w:rPr>
                <w:sz w:val="24"/>
                <w:szCs w:val="24"/>
                <w:lang w:val="ru-RU"/>
              </w:rPr>
            </w:pP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lastRenderedPageBreak/>
              <w:t>Інші джерела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708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503F8A" w:rsidRPr="000E05CB" w:rsidTr="00D31540">
        <w:tc>
          <w:tcPr>
            <w:tcW w:w="14756" w:type="dxa"/>
            <w:gridSpan w:val="10"/>
          </w:tcPr>
          <w:p w:rsidR="00503F8A" w:rsidRPr="00B95504" w:rsidRDefault="00503F8A" w:rsidP="00D3154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Удосконалення системи підготовки та перепідготовки кадрів для сфери малого і середнього підприємництва</w:t>
            </w:r>
          </w:p>
        </w:tc>
      </w:tr>
      <w:tr w:rsidR="00503F8A" w:rsidRPr="000E05CB" w:rsidTr="00D31540">
        <w:trPr>
          <w:gridAfter w:val="1"/>
          <w:wAfter w:w="14" w:type="dxa"/>
          <w:trHeight w:val="559"/>
        </w:trPr>
        <w:tc>
          <w:tcPr>
            <w:tcW w:w="567" w:type="dxa"/>
          </w:tcPr>
          <w:p w:rsidR="00503F8A" w:rsidRPr="00B95504" w:rsidRDefault="00503F8A" w:rsidP="00D31540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9550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Підтримка ведення підприємницької діяльності ветеранами (членами їхніх родин), </w:t>
            </w:r>
            <w:r w:rsidRPr="00B955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членами сімей загиблих (померлих) ветеранів, Захисників та Захисниць України</w:t>
            </w:r>
            <w:r w:rsidRPr="00B9550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 Сприяння у працевлаштуванні відповідної категорії громадян на підприємствах області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bCs/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>правління економічного та агропромислового розвитку, житлово-комунального господарства, містобудування, архітектури</w:t>
            </w:r>
            <w:r>
              <w:rPr>
                <w:sz w:val="24"/>
                <w:szCs w:val="24"/>
              </w:rPr>
              <w:t xml:space="preserve"> райдержадміністрації, Рівненська філія Рівненського обласного</w:t>
            </w:r>
            <w:r w:rsidRPr="00B95504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у</w:t>
            </w:r>
            <w:r w:rsidRPr="00B95504">
              <w:rPr>
                <w:sz w:val="24"/>
                <w:szCs w:val="24"/>
              </w:rPr>
              <w:t xml:space="preserve"> зайнятості, 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>рад, 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Інші джерела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</w:tr>
      <w:tr w:rsidR="00503F8A" w:rsidRPr="000E05CB" w:rsidTr="00D31540">
        <w:trPr>
          <w:gridAfter w:val="1"/>
          <w:wAfter w:w="14" w:type="dxa"/>
        </w:trPr>
        <w:tc>
          <w:tcPr>
            <w:tcW w:w="567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jc w:val="both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Інформаційно-консультативна підтримка, перепідготовка та підвищення кваліфікації, сприяння працевлаштуванню внутрішньо переміщених осіб, зокрема із залученням соціально відповідального бізнесу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>правління економічного та агропромислового розвитку, житлово-комунального господарства, містобудування, архітектури</w:t>
            </w:r>
            <w:r>
              <w:rPr>
                <w:sz w:val="24"/>
                <w:szCs w:val="24"/>
              </w:rPr>
              <w:t xml:space="preserve"> райдержадміністрації</w:t>
            </w:r>
            <w:r w:rsidRPr="00B955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управління соціальної політики райдержадміністрації</w:t>
            </w:r>
            <w:r w:rsidRPr="00B955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управління охорони здоров’я, освіти, культури, спорту райдержадміністрації,</w:t>
            </w:r>
            <w:r w:rsidRPr="00B955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Рівненська філія Рівненського обласного</w:t>
            </w:r>
            <w:r w:rsidRPr="00B95504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у</w:t>
            </w:r>
            <w:r w:rsidRPr="00B95504">
              <w:rPr>
                <w:sz w:val="24"/>
                <w:szCs w:val="24"/>
              </w:rPr>
              <w:t xml:space="preserve"> зайнятості, 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>рад, 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Інші джерела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</w:tc>
      </w:tr>
      <w:tr w:rsidR="00503F8A" w:rsidRPr="000E05CB" w:rsidTr="00D31540">
        <w:trPr>
          <w:gridAfter w:val="1"/>
          <w:wAfter w:w="14" w:type="dxa"/>
        </w:trPr>
        <w:tc>
          <w:tcPr>
            <w:tcW w:w="567" w:type="dxa"/>
          </w:tcPr>
          <w:p w:rsidR="00503F8A" w:rsidRPr="00B95504" w:rsidRDefault="00503F8A" w:rsidP="00D31540">
            <w:pPr>
              <w:pStyle w:val="HTML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503F8A" w:rsidRPr="00B95504" w:rsidRDefault="00503F8A" w:rsidP="00D31540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9550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Проведення бізнес-тренінгів для суб’єктів підприємницької діяльності області</w:t>
            </w:r>
          </w:p>
        </w:tc>
        <w:tc>
          <w:tcPr>
            <w:tcW w:w="1417" w:type="dxa"/>
            <w:shd w:val="clear" w:color="auto" w:fill="auto"/>
          </w:tcPr>
          <w:p w:rsidR="00503F8A" w:rsidRPr="00B95504" w:rsidRDefault="00503F8A" w:rsidP="00D31540">
            <w:pPr>
              <w:ind w:left="-108" w:right="-110"/>
              <w:jc w:val="center"/>
              <w:rPr>
                <w:sz w:val="24"/>
                <w:szCs w:val="24"/>
              </w:rPr>
            </w:pPr>
            <w:r w:rsidRPr="00B95504">
              <w:rPr>
                <w:bCs/>
                <w:sz w:val="24"/>
                <w:szCs w:val="24"/>
              </w:rPr>
              <w:t>2024</w:t>
            </w:r>
            <w:r w:rsidRPr="00B9550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95504">
              <w:rPr>
                <w:bCs/>
                <w:sz w:val="24"/>
                <w:szCs w:val="24"/>
              </w:rPr>
              <w:t>– 2027 роки</w:t>
            </w:r>
          </w:p>
        </w:tc>
        <w:tc>
          <w:tcPr>
            <w:tcW w:w="4111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39AD">
              <w:rPr>
                <w:sz w:val="24"/>
                <w:szCs w:val="24"/>
              </w:rPr>
              <w:t>правління економічного та агропромислового розвитку, житлово-комунального господарства, містобудування, архітектури</w:t>
            </w:r>
            <w:r>
              <w:rPr>
                <w:sz w:val="24"/>
                <w:szCs w:val="24"/>
              </w:rPr>
              <w:t xml:space="preserve"> райдержадміністрації</w:t>
            </w:r>
            <w:r w:rsidRPr="00B95504">
              <w:rPr>
                <w:sz w:val="24"/>
                <w:szCs w:val="24"/>
              </w:rPr>
              <w:t xml:space="preserve">, виконавчі комітети </w:t>
            </w:r>
            <w:r>
              <w:rPr>
                <w:sz w:val="24"/>
                <w:szCs w:val="24"/>
              </w:rPr>
              <w:t xml:space="preserve">сільських, селищних, міських </w:t>
            </w:r>
            <w:r w:rsidRPr="00B95504">
              <w:rPr>
                <w:sz w:val="24"/>
                <w:szCs w:val="24"/>
              </w:rPr>
              <w:t>рад, причетні установи та організації (за згодою)</w:t>
            </w:r>
          </w:p>
        </w:tc>
        <w:tc>
          <w:tcPr>
            <w:tcW w:w="1843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Районний </w:t>
            </w:r>
            <w:r w:rsidRPr="00B95504">
              <w:rPr>
                <w:sz w:val="24"/>
                <w:szCs w:val="24"/>
              </w:rPr>
              <w:t>бюджет</w:t>
            </w: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</w:p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 w:rsidRPr="00B95504">
              <w:rPr>
                <w:sz w:val="24"/>
                <w:szCs w:val="24"/>
              </w:rPr>
              <w:t>Інші джерела не заборонені законодавством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503F8A" w:rsidRPr="00B95504" w:rsidRDefault="00503F8A" w:rsidP="00D31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03F8A" w:rsidRPr="000E05CB" w:rsidTr="00D31540">
        <w:tc>
          <w:tcPr>
            <w:tcW w:w="11907" w:type="dxa"/>
            <w:gridSpan w:val="5"/>
          </w:tcPr>
          <w:p w:rsidR="00503F8A" w:rsidRPr="00160479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Районний</w:t>
            </w:r>
            <w:r w:rsidRPr="00160479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</w:tcPr>
          <w:p w:rsidR="00503F8A" w:rsidRPr="00D66B43" w:rsidRDefault="00503F8A" w:rsidP="00D315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708" w:type="dxa"/>
            <w:shd w:val="clear" w:color="auto" w:fill="auto"/>
          </w:tcPr>
          <w:p w:rsidR="00503F8A" w:rsidRPr="00D66B43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</w:t>
            </w:r>
          </w:p>
        </w:tc>
        <w:tc>
          <w:tcPr>
            <w:tcW w:w="709" w:type="dxa"/>
            <w:shd w:val="clear" w:color="auto" w:fill="auto"/>
          </w:tcPr>
          <w:p w:rsidR="00503F8A" w:rsidRPr="00D66B43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 w:rsidRPr="00160479"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23" w:type="dxa"/>
            <w:gridSpan w:val="2"/>
          </w:tcPr>
          <w:p w:rsidR="00503F8A" w:rsidRPr="00D66B43" w:rsidRDefault="00503F8A" w:rsidP="00D31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442</w:t>
            </w:r>
          </w:p>
        </w:tc>
      </w:tr>
    </w:tbl>
    <w:p w:rsidR="00503F8A" w:rsidRPr="00F12C98" w:rsidRDefault="00503F8A" w:rsidP="00503F8A">
      <w:pPr>
        <w:ind w:firstLine="709"/>
        <w:jc w:val="both"/>
      </w:pPr>
    </w:p>
    <w:p w:rsidR="00503F8A" w:rsidRPr="00F12C98" w:rsidRDefault="00503F8A" w:rsidP="00503F8A">
      <w:pPr>
        <w:ind w:firstLine="709"/>
        <w:jc w:val="both"/>
      </w:pPr>
    </w:p>
    <w:p w:rsidR="00E46722" w:rsidRDefault="00E46722"/>
    <w:sectPr w:rsidR="00E46722" w:rsidSect="000E39AD">
      <w:headerReference w:type="default" r:id="rId4"/>
      <w:pgSz w:w="16838" w:h="11906" w:orient="landscape"/>
      <w:pgMar w:top="1242" w:right="851" w:bottom="851" w:left="851" w:header="573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C56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8A"/>
    <w:rsid w:val="003A272B"/>
    <w:rsid w:val="00503F8A"/>
    <w:rsid w:val="00E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318873C-BBA7-9746-9076-24064B71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8A"/>
    <w:pPr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3F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F8A"/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HTML">
    <w:name w:val="HTML Preformatted"/>
    <w:basedOn w:val="a"/>
    <w:link w:val="HTML0"/>
    <w:rsid w:val="00503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03F8A"/>
    <w:rPr>
      <w:rFonts w:ascii="Courier New" w:eastAsia="Times New Roman" w:hAnsi="Courier New" w:cs="Courier New"/>
      <w:color w:val="000000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2024-02-13T08:16:00Z</dcterms:created>
  <dcterms:modified xsi:type="dcterms:W3CDTF">2024-02-13T08:19:00Z</dcterms:modified>
</cp:coreProperties>
</file>