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E189B" w:rsidRPr="00254AE3" w:rsidRDefault="000E189B" w:rsidP="000E189B">
      <w:pPr>
        <w:spacing w:line="276" w:lineRule="auto"/>
        <w:jc w:val="right"/>
        <w:rPr>
          <w:bCs/>
          <w:sz w:val="28"/>
          <w:szCs w:val="36"/>
          <w:lang w:val="uk-UA"/>
        </w:rPr>
      </w:pPr>
      <w:r w:rsidRPr="00254AE3">
        <w:rPr>
          <w:bCs/>
          <w:sz w:val="28"/>
          <w:szCs w:val="36"/>
          <w:lang w:val="uk-UA"/>
        </w:rPr>
        <w:t>Додаток 2 до Програми</w:t>
      </w:r>
    </w:p>
    <w:p w:rsidR="000E189B" w:rsidRPr="00254AE3" w:rsidRDefault="000E189B" w:rsidP="000E189B">
      <w:pPr>
        <w:spacing w:line="276" w:lineRule="auto"/>
        <w:jc w:val="center"/>
        <w:rPr>
          <w:b/>
          <w:sz w:val="40"/>
          <w:szCs w:val="48"/>
          <w:lang w:val="uk-UA"/>
        </w:rPr>
      </w:pPr>
    </w:p>
    <w:p w:rsidR="000E189B" w:rsidRPr="00254AE3" w:rsidRDefault="000E189B" w:rsidP="000E189B">
      <w:pPr>
        <w:spacing w:line="276" w:lineRule="auto"/>
        <w:jc w:val="center"/>
        <w:rPr>
          <w:b/>
          <w:sz w:val="28"/>
          <w:szCs w:val="36"/>
          <w:lang w:val="uk-UA"/>
        </w:rPr>
      </w:pPr>
      <w:r w:rsidRPr="00254AE3">
        <w:rPr>
          <w:b/>
          <w:sz w:val="28"/>
          <w:szCs w:val="36"/>
          <w:lang w:val="uk-UA"/>
        </w:rPr>
        <w:t xml:space="preserve">ЗАХОДИ З РЕАЛІЗАЦІЇ ПРОГРАМИ РОЗВИТКУ ІНВЕСТИЦІЙНОЇ ДІЯЛЬНОСТІ </w:t>
      </w:r>
    </w:p>
    <w:p w:rsidR="000E189B" w:rsidRPr="00254AE3" w:rsidRDefault="000E189B" w:rsidP="000E189B">
      <w:pPr>
        <w:spacing w:line="276" w:lineRule="auto"/>
        <w:jc w:val="center"/>
        <w:rPr>
          <w:b/>
          <w:sz w:val="28"/>
          <w:szCs w:val="36"/>
          <w:lang w:val="uk-UA"/>
        </w:rPr>
      </w:pPr>
      <w:r>
        <w:rPr>
          <w:b/>
          <w:sz w:val="28"/>
          <w:szCs w:val="36"/>
          <w:lang w:val="uk-UA"/>
        </w:rPr>
        <w:t>В РІВНЕНСЬКОМУ</w:t>
      </w:r>
      <w:r w:rsidRPr="00254AE3">
        <w:rPr>
          <w:b/>
          <w:sz w:val="28"/>
          <w:szCs w:val="36"/>
          <w:lang w:val="uk-UA"/>
        </w:rPr>
        <w:t xml:space="preserve"> </w:t>
      </w:r>
      <w:r>
        <w:rPr>
          <w:b/>
          <w:sz w:val="28"/>
          <w:szCs w:val="36"/>
          <w:lang w:val="uk-UA"/>
        </w:rPr>
        <w:t>РАЙОНІ</w:t>
      </w:r>
      <w:r w:rsidRPr="00254AE3">
        <w:rPr>
          <w:b/>
          <w:sz w:val="28"/>
          <w:szCs w:val="36"/>
          <w:lang w:val="uk-UA"/>
        </w:rPr>
        <w:t xml:space="preserve"> НА 2024 – 2027 РОКИ</w:t>
      </w:r>
    </w:p>
    <w:p w:rsidR="000E189B" w:rsidRPr="00254AE3" w:rsidRDefault="000E189B" w:rsidP="000E189B">
      <w:pPr>
        <w:spacing w:line="276" w:lineRule="auto"/>
        <w:jc w:val="center"/>
        <w:rPr>
          <w:b/>
          <w:sz w:val="28"/>
          <w:szCs w:val="28"/>
          <w:lang w:val="uk-UA"/>
        </w:rPr>
      </w:pPr>
    </w:p>
    <w:p w:rsidR="000E189B" w:rsidRPr="00254AE3" w:rsidRDefault="000E189B" w:rsidP="000E189B">
      <w:pPr>
        <w:spacing w:line="276" w:lineRule="auto"/>
        <w:rPr>
          <w:sz w:val="2"/>
          <w:szCs w:val="2"/>
          <w:lang w:val="uk-UA"/>
        </w:rPr>
      </w:pPr>
    </w:p>
    <w:tbl>
      <w:tblPr>
        <w:tblpPr w:leftFromText="180" w:rightFromText="180" w:vertAnchor="text" w:tblpX="-312" w:tblpY="1"/>
        <w:tblOverlap w:val="never"/>
        <w:tblW w:w="150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9"/>
        <w:gridCol w:w="3040"/>
        <w:gridCol w:w="3828"/>
        <w:gridCol w:w="1417"/>
        <w:gridCol w:w="1843"/>
        <w:gridCol w:w="1134"/>
        <w:gridCol w:w="1134"/>
        <w:gridCol w:w="1134"/>
        <w:gridCol w:w="1134"/>
      </w:tblGrid>
      <w:tr w:rsidR="000E189B" w:rsidRPr="00254AE3" w:rsidTr="00D31540">
        <w:trPr>
          <w:trHeight w:val="769"/>
          <w:tblHeader/>
        </w:trPr>
        <w:tc>
          <w:tcPr>
            <w:tcW w:w="419" w:type="dxa"/>
            <w:vMerge w:val="restart"/>
            <w:tcBorders>
              <w:right w:val="single" w:sz="4" w:space="0" w:color="auto"/>
            </w:tcBorders>
            <w:vAlign w:val="center"/>
          </w:tcPr>
          <w:p w:rsidR="000E189B" w:rsidRPr="00254AE3" w:rsidRDefault="000E189B" w:rsidP="00D31540">
            <w:pPr>
              <w:jc w:val="center"/>
              <w:rPr>
                <w:b/>
                <w:bCs/>
                <w:lang w:val="uk-UA"/>
              </w:rPr>
            </w:pPr>
            <w:r w:rsidRPr="00254AE3">
              <w:rPr>
                <w:b/>
                <w:bCs/>
                <w:lang w:val="uk-UA"/>
              </w:rPr>
              <w:t>№</w:t>
            </w:r>
          </w:p>
        </w:tc>
        <w:tc>
          <w:tcPr>
            <w:tcW w:w="3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89B" w:rsidRPr="00254AE3" w:rsidRDefault="000E189B" w:rsidP="00D31540">
            <w:pPr>
              <w:jc w:val="center"/>
              <w:rPr>
                <w:b/>
                <w:bCs/>
                <w:lang w:val="uk-UA"/>
              </w:rPr>
            </w:pPr>
            <w:r w:rsidRPr="00254AE3">
              <w:rPr>
                <w:b/>
                <w:bCs/>
                <w:lang w:val="uk-UA"/>
              </w:rPr>
              <w:t>Назва заходу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89B" w:rsidRPr="00254AE3" w:rsidRDefault="000E189B" w:rsidP="00D31540">
            <w:pPr>
              <w:jc w:val="center"/>
              <w:rPr>
                <w:b/>
                <w:bCs/>
                <w:lang w:val="uk-UA"/>
              </w:rPr>
            </w:pPr>
            <w:r w:rsidRPr="00254AE3">
              <w:rPr>
                <w:b/>
                <w:bCs/>
                <w:lang w:val="uk-UA"/>
              </w:rPr>
              <w:t>Відповідальні виконавці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89B" w:rsidRPr="00254AE3" w:rsidRDefault="000E189B" w:rsidP="00D31540">
            <w:pPr>
              <w:jc w:val="center"/>
              <w:rPr>
                <w:b/>
                <w:bCs/>
                <w:lang w:val="uk-UA"/>
              </w:rPr>
            </w:pPr>
            <w:r w:rsidRPr="00254AE3">
              <w:rPr>
                <w:b/>
                <w:bCs/>
                <w:lang w:val="uk-UA"/>
              </w:rPr>
              <w:t>Термін виконання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89B" w:rsidRPr="00254AE3" w:rsidRDefault="000E189B" w:rsidP="00D31540">
            <w:pPr>
              <w:jc w:val="center"/>
              <w:rPr>
                <w:b/>
                <w:bCs/>
                <w:lang w:val="uk-UA"/>
              </w:rPr>
            </w:pPr>
            <w:r w:rsidRPr="00254AE3">
              <w:rPr>
                <w:b/>
                <w:bCs/>
                <w:lang w:val="uk-UA"/>
              </w:rPr>
              <w:t>Джерела фінансування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89B" w:rsidRPr="00254AE3" w:rsidRDefault="000E189B" w:rsidP="00D31540">
            <w:pPr>
              <w:jc w:val="center"/>
              <w:rPr>
                <w:b/>
                <w:bCs/>
                <w:lang w:val="uk-UA"/>
              </w:rPr>
            </w:pPr>
            <w:r w:rsidRPr="00254AE3">
              <w:rPr>
                <w:b/>
                <w:bCs/>
                <w:lang w:val="uk-UA"/>
              </w:rPr>
              <w:t>Обсяг фінансування,</w:t>
            </w:r>
          </w:p>
          <w:p w:rsidR="000E189B" w:rsidRPr="00254AE3" w:rsidRDefault="000E189B" w:rsidP="00D31540">
            <w:pPr>
              <w:jc w:val="center"/>
              <w:rPr>
                <w:b/>
                <w:bCs/>
                <w:lang w:val="uk-UA"/>
              </w:rPr>
            </w:pPr>
            <w:r w:rsidRPr="00254AE3">
              <w:rPr>
                <w:b/>
                <w:bCs/>
                <w:lang w:val="uk-UA"/>
              </w:rPr>
              <w:t>тис. гривень</w:t>
            </w:r>
          </w:p>
        </w:tc>
      </w:tr>
      <w:tr w:rsidR="000E189B" w:rsidRPr="00254AE3" w:rsidTr="00D31540">
        <w:trPr>
          <w:trHeight w:val="490"/>
          <w:tblHeader/>
        </w:trPr>
        <w:tc>
          <w:tcPr>
            <w:tcW w:w="419" w:type="dxa"/>
            <w:vMerge/>
            <w:tcBorders>
              <w:right w:val="single" w:sz="4" w:space="0" w:color="auto"/>
            </w:tcBorders>
            <w:vAlign w:val="center"/>
          </w:tcPr>
          <w:p w:rsidR="000E189B" w:rsidRPr="00254AE3" w:rsidRDefault="000E189B" w:rsidP="00D31540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89B" w:rsidRPr="00254AE3" w:rsidRDefault="000E189B" w:rsidP="00D31540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89B" w:rsidRPr="00254AE3" w:rsidRDefault="000E189B" w:rsidP="00D31540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89B" w:rsidRPr="00254AE3" w:rsidRDefault="000E189B" w:rsidP="00D31540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89B" w:rsidRPr="00254AE3" w:rsidRDefault="000E189B" w:rsidP="00D31540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89B" w:rsidRPr="00254AE3" w:rsidRDefault="000E189B" w:rsidP="00D31540">
            <w:pPr>
              <w:jc w:val="center"/>
              <w:rPr>
                <w:b/>
                <w:bCs/>
                <w:lang w:val="uk-UA"/>
              </w:rPr>
            </w:pPr>
            <w:r w:rsidRPr="00254AE3">
              <w:rPr>
                <w:b/>
                <w:bCs/>
                <w:lang w:val="uk-UA"/>
              </w:rPr>
              <w:t>2024 рік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E189B" w:rsidRPr="00254AE3" w:rsidRDefault="000E189B" w:rsidP="00D31540">
            <w:pPr>
              <w:jc w:val="center"/>
              <w:rPr>
                <w:b/>
                <w:bCs/>
                <w:lang w:val="uk-UA"/>
              </w:rPr>
            </w:pPr>
            <w:r w:rsidRPr="00254AE3">
              <w:rPr>
                <w:b/>
                <w:bCs/>
                <w:lang w:val="uk-UA"/>
              </w:rPr>
              <w:t>2025 рік</w:t>
            </w:r>
          </w:p>
        </w:tc>
        <w:tc>
          <w:tcPr>
            <w:tcW w:w="1134" w:type="dxa"/>
            <w:vAlign w:val="center"/>
          </w:tcPr>
          <w:p w:rsidR="000E189B" w:rsidRPr="00254AE3" w:rsidRDefault="000E189B" w:rsidP="00D31540">
            <w:pPr>
              <w:jc w:val="center"/>
              <w:rPr>
                <w:b/>
                <w:bCs/>
                <w:lang w:val="uk-UA"/>
              </w:rPr>
            </w:pPr>
            <w:r w:rsidRPr="00254AE3">
              <w:rPr>
                <w:b/>
                <w:bCs/>
                <w:lang w:val="uk-UA"/>
              </w:rPr>
              <w:t>2026 рік</w:t>
            </w:r>
          </w:p>
        </w:tc>
        <w:tc>
          <w:tcPr>
            <w:tcW w:w="1134" w:type="dxa"/>
            <w:vAlign w:val="center"/>
          </w:tcPr>
          <w:p w:rsidR="000E189B" w:rsidRPr="00254AE3" w:rsidRDefault="000E189B" w:rsidP="00D31540">
            <w:pPr>
              <w:jc w:val="center"/>
              <w:rPr>
                <w:b/>
                <w:bCs/>
                <w:lang w:val="uk-UA"/>
              </w:rPr>
            </w:pPr>
            <w:r w:rsidRPr="00254AE3">
              <w:rPr>
                <w:b/>
                <w:bCs/>
                <w:lang w:val="uk-UA"/>
              </w:rPr>
              <w:t>2027 рік</w:t>
            </w:r>
          </w:p>
        </w:tc>
      </w:tr>
      <w:tr w:rsidR="000E189B" w:rsidRPr="00254AE3" w:rsidTr="00D31540">
        <w:tc>
          <w:tcPr>
            <w:tcW w:w="15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89B" w:rsidRPr="00254AE3" w:rsidRDefault="000E189B" w:rsidP="000E189B">
            <w:pPr>
              <w:numPr>
                <w:ilvl w:val="0"/>
                <w:numId w:val="1"/>
              </w:numPr>
              <w:spacing w:before="60" w:after="60"/>
              <w:jc w:val="center"/>
              <w:rPr>
                <w:b/>
                <w:bCs/>
                <w:lang w:val="uk-UA"/>
              </w:rPr>
            </w:pPr>
            <w:r w:rsidRPr="00254AE3">
              <w:rPr>
                <w:b/>
                <w:bCs/>
                <w:lang w:val="uk-UA"/>
              </w:rPr>
              <w:t>Створення інституційного середовища для активізації інвестиційної діяльності</w:t>
            </w:r>
          </w:p>
        </w:tc>
      </w:tr>
      <w:tr w:rsidR="000E189B" w:rsidRPr="00254AE3" w:rsidTr="00D31540">
        <w:trPr>
          <w:trHeight w:val="887"/>
        </w:trPr>
        <w:tc>
          <w:tcPr>
            <w:tcW w:w="419" w:type="dxa"/>
            <w:vMerge w:val="restart"/>
            <w:tcBorders>
              <w:right w:val="single" w:sz="4" w:space="0" w:color="auto"/>
            </w:tcBorders>
          </w:tcPr>
          <w:p w:rsidR="000E189B" w:rsidRPr="00254AE3" w:rsidRDefault="000E189B" w:rsidP="00D31540">
            <w:pPr>
              <w:jc w:val="center"/>
              <w:rPr>
                <w:lang w:val="uk-UA"/>
              </w:rPr>
            </w:pPr>
            <w:r w:rsidRPr="00254AE3">
              <w:rPr>
                <w:lang w:val="uk-UA"/>
              </w:rPr>
              <w:t>1.</w:t>
            </w:r>
          </w:p>
        </w:tc>
        <w:tc>
          <w:tcPr>
            <w:tcW w:w="3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89B" w:rsidRPr="00254AE3" w:rsidRDefault="000E189B" w:rsidP="00D31540">
            <w:pPr>
              <w:rPr>
                <w:lang w:val="uk-UA"/>
              </w:rPr>
            </w:pPr>
            <w:r w:rsidRPr="00254AE3">
              <w:rPr>
                <w:lang w:val="uk-UA"/>
              </w:rPr>
              <w:t>Сприяння створенню та розвитку прогресивних форм інституційного забезпечення інвестиційної діяльності (промислово-технологічних зон, індустріальних та наукових парків, кластерів)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89B" w:rsidRPr="00254AE3" w:rsidRDefault="000E189B" w:rsidP="00D31540">
            <w:pPr>
              <w:rPr>
                <w:lang w:val="uk-UA"/>
              </w:rPr>
            </w:pPr>
            <w:r>
              <w:rPr>
                <w:szCs w:val="28"/>
                <w:lang w:val="uk-UA"/>
              </w:rPr>
              <w:t>У</w:t>
            </w:r>
            <w:r w:rsidRPr="005F78E5">
              <w:rPr>
                <w:szCs w:val="28"/>
                <w:lang w:val="uk-UA"/>
              </w:rPr>
              <w:t>правління економічного та агропромислового розвитку, житлово-комунального господарства, містобудування, архітектури</w:t>
            </w:r>
            <w:r w:rsidRPr="005F78E5">
              <w:rPr>
                <w:sz w:val="22"/>
                <w:lang w:val="uk-UA"/>
              </w:rPr>
              <w:t xml:space="preserve"> </w:t>
            </w:r>
            <w:r>
              <w:rPr>
                <w:lang w:val="uk-UA"/>
              </w:rPr>
              <w:t>райдержадміністрації,</w:t>
            </w:r>
            <w:r w:rsidRPr="00254AE3">
              <w:rPr>
                <w:lang w:val="uk-UA"/>
              </w:rPr>
              <w:t xml:space="preserve"> виконавчі комітети сільських, селищних та міських рад</w:t>
            </w:r>
            <w:r>
              <w:rPr>
                <w:lang w:val="uk-UA"/>
              </w:rPr>
              <w:t>,</w:t>
            </w:r>
            <w:r w:rsidRPr="00254AE3">
              <w:rPr>
                <w:lang w:val="uk-UA"/>
              </w:rPr>
              <w:t xml:space="preserve"> інші спеціалізовані установи (за згодою)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89B" w:rsidRPr="00254AE3" w:rsidRDefault="000E189B" w:rsidP="00D31540">
            <w:pPr>
              <w:jc w:val="center"/>
              <w:rPr>
                <w:lang w:val="uk-UA"/>
              </w:rPr>
            </w:pPr>
            <w:r w:rsidRPr="00254AE3">
              <w:rPr>
                <w:lang w:val="uk-UA"/>
              </w:rPr>
              <w:t>2024 – 2027 роки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89B" w:rsidRPr="00254AE3" w:rsidRDefault="000E189B" w:rsidP="00D3154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районний</w:t>
            </w:r>
          </w:p>
          <w:p w:rsidR="000E189B" w:rsidRPr="00254AE3" w:rsidRDefault="000E189B" w:rsidP="00D31540">
            <w:pPr>
              <w:jc w:val="center"/>
              <w:rPr>
                <w:lang w:val="uk-UA"/>
              </w:rPr>
            </w:pPr>
            <w:r w:rsidRPr="00254AE3">
              <w:rPr>
                <w:lang w:val="uk-UA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89B" w:rsidRPr="00254AE3" w:rsidRDefault="000E189B" w:rsidP="00D3154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Pr="00254AE3">
              <w:rPr>
                <w:lang w:val="uk-UA"/>
              </w:rPr>
              <w:t>0,0</w:t>
            </w:r>
          </w:p>
          <w:p w:rsidR="000E189B" w:rsidRPr="00254AE3" w:rsidRDefault="000E189B" w:rsidP="00D31540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E189B" w:rsidRPr="00254AE3" w:rsidRDefault="000E189B" w:rsidP="00D3154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  <w:r w:rsidRPr="00254AE3">
              <w:rPr>
                <w:lang w:val="uk-UA"/>
              </w:rPr>
              <w:t>,0</w:t>
            </w:r>
          </w:p>
        </w:tc>
        <w:tc>
          <w:tcPr>
            <w:tcW w:w="1134" w:type="dxa"/>
          </w:tcPr>
          <w:p w:rsidR="000E189B" w:rsidRPr="00254AE3" w:rsidRDefault="000E189B" w:rsidP="00D3154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  <w:r w:rsidRPr="00254AE3">
              <w:rPr>
                <w:lang w:val="uk-UA"/>
              </w:rPr>
              <w:t>,0</w:t>
            </w:r>
          </w:p>
        </w:tc>
        <w:tc>
          <w:tcPr>
            <w:tcW w:w="1134" w:type="dxa"/>
          </w:tcPr>
          <w:p w:rsidR="000E189B" w:rsidRPr="00254AE3" w:rsidRDefault="000E189B" w:rsidP="00D3154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</w:t>
            </w:r>
            <w:r w:rsidRPr="00254AE3">
              <w:rPr>
                <w:lang w:val="uk-UA"/>
              </w:rPr>
              <w:t>,0</w:t>
            </w:r>
          </w:p>
        </w:tc>
      </w:tr>
      <w:tr w:rsidR="000E189B" w:rsidRPr="00254AE3" w:rsidTr="00D31540">
        <w:trPr>
          <w:trHeight w:val="1177"/>
        </w:trPr>
        <w:tc>
          <w:tcPr>
            <w:tcW w:w="419" w:type="dxa"/>
            <w:vMerge/>
            <w:tcBorders>
              <w:right w:val="single" w:sz="4" w:space="0" w:color="auto"/>
            </w:tcBorders>
          </w:tcPr>
          <w:p w:rsidR="000E189B" w:rsidRPr="00254AE3" w:rsidRDefault="000E189B" w:rsidP="00D31540">
            <w:pPr>
              <w:jc w:val="center"/>
              <w:rPr>
                <w:lang w:val="uk-UA"/>
              </w:rPr>
            </w:pPr>
          </w:p>
        </w:tc>
        <w:tc>
          <w:tcPr>
            <w:tcW w:w="3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89B" w:rsidRPr="00254AE3" w:rsidRDefault="000E189B" w:rsidP="00D31540">
            <w:pPr>
              <w:rPr>
                <w:lang w:val="uk-UA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89B" w:rsidRPr="00254AE3" w:rsidRDefault="000E189B" w:rsidP="00D31540">
            <w:pPr>
              <w:rPr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89B" w:rsidRPr="00254AE3" w:rsidRDefault="000E189B" w:rsidP="00D31540">
            <w:pPr>
              <w:jc w:val="center"/>
              <w:rPr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89B" w:rsidRPr="00254AE3" w:rsidRDefault="000E189B" w:rsidP="00D31540">
            <w:pPr>
              <w:jc w:val="center"/>
              <w:rPr>
                <w:lang w:val="uk-UA"/>
              </w:rPr>
            </w:pPr>
            <w:r w:rsidRPr="00254AE3">
              <w:rPr>
                <w:lang w:val="uk-UA"/>
              </w:rPr>
              <w:t xml:space="preserve">інші джерела, </w:t>
            </w:r>
            <w:r w:rsidRPr="00254AE3">
              <w:rPr>
                <w:lang w:val="uk-UA"/>
              </w:rPr>
              <w:br/>
              <w:t>не заборонені законодавством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89B" w:rsidRPr="00254AE3" w:rsidRDefault="000E189B" w:rsidP="00D31540">
            <w:pPr>
              <w:jc w:val="center"/>
              <w:rPr>
                <w:lang w:val="uk-UA"/>
              </w:rPr>
            </w:pPr>
            <w:r w:rsidRPr="00254AE3">
              <w:rPr>
                <w:lang w:val="uk-UA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E189B" w:rsidRPr="00254AE3" w:rsidRDefault="000E189B" w:rsidP="00D31540">
            <w:pPr>
              <w:jc w:val="center"/>
              <w:rPr>
                <w:lang w:val="uk-UA"/>
              </w:rPr>
            </w:pPr>
            <w:r w:rsidRPr="00254AE3">
              <w:rPr>
                <w:lang w:val="uk-UA"/>
              </w:rPr>
              <w:t>-</w:t>
            </w:r>
          </w:p>
        </w:tc>
        <w:tc>
          <w:tcPr>
            <w:tcW w:w="1134" w:type="dxa"/>
          </w:tcPr>
          <w:p w:rsidR="000E189B" w:rsidRPr="00254AE3" w:rsidRDefault="000E189B" w:rsidP="00D31540">
            <w:pPr>
              <w:jc w:val="center"/>
              <w:rPr>
                <w:lang w:val="uk-UA"/>
              </w:rPr>
            </w:pPr>
            <w:r w:rsidRPr="00254AE3">
              <w:rPr>
                <w:lang w:val="uk-UA"/>
              </w:rPr>
              <w:t>-</w:t>
            </w:r>
          </w:p>
        </w:tc>
        <w:tc>
          <w:tcPr>
            <w:tcW w:w="1134" w:type="dxa"/>
          </w:tcPr>
          <w:p w:rsidR="000E189B" w:rsidRPr="00254AE3" w:rsidRDefault="000E189B" w:rsidP="00D31540">
            <w:pPr>
              <w:jc w:val="center"/>
              <w:rPr>
                <w:lang w:val="uk-UA"/>
              </w:rPr>
            </w:pPr>
            <w:r w:rsidRPr="00254AE3">
              <w:rPr>
                <w:lang w:val="uk-UA"/>
              </w:rPr>
              <w:t>-</w:t>
            </w:r>
          </w:p>
        </w:tc>
      </w:tr>
      <w:tr w:rsidR="000E189B" w:rsidRPr="00254AE3" w:rsidTr="00D31540">
        <w:trPr>
          <w:trHeight w:val="346"/>
        </w:trPr>
        <w:tc>
          <w:tcPr>
            <w:tcW w:w="15083" w:type="dxa"/>
            <w:gridSpan w:val="9"/>
          </w:tcPr>
          <w:p w:rsidR="000E189B" w:rsidRPr="00254AE3" w:rsidRDefault="000E189B" w:rsidP="000E189B">
            <w:pPr>
              <w:numPr>
                <w:ilvl w:val="0"/>
                <w:numId w:val="1"/>
              </w:numPr>
              <w:spacing w:before="60" w:after="60"/>
              <w:jc w:val="center"/>
              <w:rPr>
                <w:b/>
                <w:bCs/>
                <w:lang w:val="uk-UA"/>
              </w:rPr>
            </w:pPr>
            <w:r w:rsidRPr="00254AE3">
              <w:rPr>
                <w:b/>
                <w:bCs/>
                <w:lang w:val="uk-UA"/>
              </w:rPr>
              <w:t>Консультативна, методична та ресурсна підтримка активізації інвестиційної діяльності</w:t>
            </w:r>
          </w:p>
        </w:tc>
      </w:tr>
      <w:tr w:rsidR="000E189B" w:rsidRPr="00254AE3" w:rsidTr="00D31540">
        <w:trPr>
          <w:trHeight w:val="719"/>
        </w:trPr>
        <w:tc>
          <w:tcPr>
            <w:tcW w:w="419" w:type="dxa"/>
            <w:vMerge w:val="restart"/>
          </w:tcPr>
          <w:p w:rsidR="000E189B" w:rsidRPr="00254AE3" w:rsidRDefault="000E189B" w:rsidP="00D3154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Pr="00254AE3">
              <w:rPr>
                <w:lang w:val="uk-UA"/>
              </w:rPr>
              <w:t>.</w:t>
            </w:r>
          </w:p>
        </w:tc>
        <w:tc>
          <w:tcPr>
            <w:tcW w:w="3040" w:type="dxa"/>
            <w:vMerge w:val="restart"/>
          </w:tcPr>
          <w:p w:rsidR="000E189B" w:rsidRPr="00254AE3" w:rsidRDefault="000E189B" w:rsidP="00D31540">
            <w:pPr>
              <w:rPr>
                <w:lang w:val="uk-UA"/>
              </w:rPr>
            </w:pPr>
            <w:r w:rsidRPr="00254AE3">
              <w:rPr>
                <w:lang w:val="uk-UA"/>
              </w:rPr>
              <w:t>Формування переліку потенційних об’єктів інвестування, які можуть бути запропоновані на розгляд інвесторам на умовах державно- приватного партнерства, забезпечення його актуальності</w:t>
            </w:r>
          </w:p>
        </w:tc>
        <w:tc>
          <w:tcPr>
            <w:tcW w:w="3828" w:type="dxa"/>
            <w:vMerge w:val="restart"/>
          </w:tcPr>
          <w:p w:rsidR="000E189B" w:rsidRPr="00254AE3" w:rsidRDefault="000E189B" w:rsidP="00D31540">
            <w:pPr>
              <w:rPr>
                <w:lang w:val="uk-UA"/>
              </w:rPr>
            </w:pPr>
            <w:r>
              <w:rPr>
                <w:szCs w:val="28"/>
                <w:lang w:val="uk-UA"/>
              </w:rPr>
              <w:t>У</w:t>
            </w:r>
            <w:r w:rsidRPr="005F78E5">
              <w:rPr>
                <w:szCs w:val="28"/>
                <w:lang w:val="uk-UA"/>
              </w:rPr>
              <w:t>правління економічного та агропромислового розвитку, житлово-комунального господарства, містобудування, архітектури</w:t>
            </w:r>
            <w:r w:rsidRPr="005F78E5">
              <w:rPr>
                <w:sz w:val="22"/>
                <w:lang w:val="uk-UA"/>
              </w:rPr>
              <w:t xml:space="preserve"> </w:t>
            </w:r>
            <w:r>
              <w:rPr>
                <w:lang w:val="uk-UA"/>
              </w:rPr>
              <w:t>райдержадміністрації</w:t>
            </w:r>
            <w:r w:rsidRPr="00254AE3">
              <w:rPr>
                <w:lang w:val="uk-UA"/>
              </w:rPr>
              <w:t xml:space="preserve">, </w:t>
            </w:r>
            <w:r w:rsidRPr="00937E64">
              <w:rPr>
                <w:lang w:val="uk-UA"/>
              </w:rPr>
              <w:t xml:space="preserve"> управління охорони здоров’я, освіти, культури, спорту райдержадміністрації</w:t>
            </w:r>
            <w:r w:rsidRPr="00254AE3">
              <w:rPr>
                <w:lang w:val="uk-UA"/>
              </w:rPr>
              <w:t>, виконавчі комітети сільських, селищних та міських ра</w:t>
            </w:r>
            <w:r>
              <w:rPr>
                <w:lang w:val="uk-UA"/>
              </w:rPr>
              <w:t>д</w:t>
            </w:r>
          </w:p>
        </w:tc>
        <w:tc>
          <w:tcPr>
            <w:tcW w:w="1417" w:type="dxa"/>
            <w:vMerge w:val="restart"/>
          </w:tcPr>
          <w:p w:rsidR="000E189B" w:rsidRPr="00254AE3" w:rsidRDefault="000E189B" w:rsidP="00D31540">
            <w:pPr>
              <w:jc w:val="center"/>
              <w:rPr>
                <w:lang w:val="uk-UA"/>
              </w:rPr>
            </w:pPr>
            <w:r w:rsidRPr="00254AE3">
              <w:rPr>
                <w:lang w:val="uk-UA"/>
              </w:rPr>
              <w:t>постійно</w:t>
            </w:r>
          </w:p>
        </w:tc>
        <w:tc>
          <w:tcPr>
            <w:tcW w:w="1843" w:type="dxa"/>
          </w:tcPr>
          <w:p w:rsidR="000E189B" w:rsidRPr="00912BD1" w:rsidRDefault="000E189B" w:rsidP="00D3154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районний</w:t>
            </w:r>
          </w:p>
          <w:p w:rsidR="000E189B" w:rsidRPr="00254AE3" w:rsidRDefault="000E189B" w:rsidP="00D31540">
            <w:pPr>
              <w:jc w:val="center"/>
              <w:rPr>
                <w:lang w:val="uk-UA"/>
              </w:rPr>
            </w:pPr>
            <w:r w:rsidRPr="00254AE3">
              <w:rPr>
                <w:lang w:val="uk-UA"/>
              </w:rPr>
              <w:t>бюджет</w:t>
            </w:r>
          </w:p>
        </w:tc>
        <w:tc>
          <w:tcPr>
            <w:tcW w:w="1134" w:type="dxa"/>
          </w:tcPr>
          <w:p w:rsidR="000E189B" w:rsidRPr="00254AE3" w:rsidRDefault="000E189B" w:rsidP="00D3154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Pr="00254AE3">
              <w:rPr>
                <w:lang w:val="uk-UA"/>
              </w:rPr>
              <w:t>,0</w:t>
            </w:r>
          </w:p>
        </w:tc>
        <w:tc>
          <w:tcPr>
            <w:tcW w:w="1134" w:type="dxa"/>
          </w:tcPr>
          <w:p w:rsidR="000E189B" w:rsidRPr="00254AE3" w:rsidRDefault="000E189B" w:rsidP="00D3154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Pr="00254AE3">
              <w:rPr>
                <w:lang w:val="uk-UA"/>
              </w:rPr>
              <w:t>,0</w:t>
            </w:r>
          </w:p>
        </w:tc>
        <w:tc>
          <w:tcPr>
            <w:tcW w:w="1134" w:type="dxa"/>
          </w:tcPr>
          <w:p w:rsidR="000E189B" w:rsidRPr="00254AE3" w:rsidRDefault="000E189B" w:rsidP="00D3154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Pr="00254AE3">
              <w:rPr>
                <w:lang w:val="uk-UA"/>
              </w:rPr>
              <w:t>,0</w:t>
            </w:r>
          </w:p>
        </w:tc>
        <w:tc>
          <w:tcPr>
            <w:tcW w:w="1134" w:type="dxa"/>
          </w:tcPr>
          <w:p w:rsidR="000E189B" w:rsidRPr="00254AE3" w:rsidRDefault="000E189B" w:rsidP="00D3154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Pr="00254AE3">
              <w:rPr>
                <w:lang w:val="uk-UA"/>
              </w:rPr>
              <w:t>,0</w:t>
            </w:r>
          </w:p>
        </w:tc>
      </w:tr>
      <w:tr w:rsidR="000E189B" w:rsidRPr="00254AE3" w:rsidTr="00D31540">
        <w:trPr>
          <w:trHeight w:val="1821"/>
        </w:trPr>
        <w:tc>
          <w:tcPr>
            <w:tcW w:w="419" w:type="dxa"/>
            <w:vMerge/>
          </w:tcPr>
          <w:p w:rsidR="000E189B" w:rsidRPr="00254AE3" w:rsidRDefault="000E189B" w:rsidP="00D31540">
            <w:pPr>
              <w:jc w:val="center"/>
              <w:rPr>
                <w:lang w:val="uk-UA"/>
              </w:rPr>
            </w:pPr>
          </w:p>
        </w:tc>
        <w:tc>
          <w:tcPr>
            <w:tcW w:w="3040" w:type="dxa"/>
            <w:vMerge/>
          </w:tcPr>
          <w:p w:rsidR="000E189B" w:rsidRPr="00254AE3" w:rsidRDefault="000E189B" w:rsidP="00D31540">
            <w:pPr>
              <w:rPr>
                <w:lang w:val="uk-UA"/>
              </w:rPr>
            </w:pPr>
          </w:p>
        </w:tc>
        <w:tc>
          <w:tcPr>
            <w:tcW w:w="3828" w:type="dxa"/>
            <w:vMerge/>
          </w:tcPr>
          <w:p w:rsidR="000E189B" w:rsidRPr="00254AE3" w:rsidRDefault="000E189B" w:rsidP="00D31540">
            <w:pPr>
              <w:rPr>
                <w:lang w:val="uk-UA"/>
              </w:rPr>
            </w:pPr>
          </w:p>
        </w:tc>
        <w:tc>
          <w:tcPr>
            <w:tcW w:w="1417" w:type="dxa"/>
            <w:vMerge/>
          </w:tcPr>
          <w:p w:rsidR="000E189B" w:rsidRPr="00254AE3" w:rsidRDefault="000E189B" w:rsidP="00D31540">
            <w:pPr>
              <w:jc w:val="center"/>
              <w:rPr>
                <w:lang w:val="uk-UA"/>
              </w:rPr>
            </w:pPr>
          </w:p>
        </w:tc>
        <w:tc>
          <w:tcPr>
            <w:tcW w:w="1843" w:type="dxa"/>
          </w:tcPr>
          <w:p w:rsidR="000E189B" w:rsidRPr="00254AE3" w:rsidRDefault="000E189B" w:rsidP="00D31540">
            <w:pPr>
              <w:jc w:val="center"/>
              <w:rPr>
                <w:lang w:val="uk-UA"/>
              </w:rPr>
            </w:pPr>
            <w:r w:rsidRPr="00254AE3">
              <w:rPr>
                <w:lang w:val="uk-UA"/>
              </w:rPr>
              <w:t xml:space="preserve">інші джерела, </w:t>
            </w:r>
            <w:r w:rsidRPr="00254AE3">
              <w:rPr>
                <w:lang w:val="uk-UA"/>
              </w:rPr>
              <w:br/>
              <w:t>не заборонені законодавством</w:t>
            </w:r>
          </w:p>
        </w:tc>
        <w:tc>
          <w:tcPr>
            <w:tcW w:w="1134" w:type="dxa"/>
          </w:tcPr>
          <w:p w:rsidR="000E189B" w:rsidRPr="00254AE3" w:rsidRDefault="000E189B" w:rsidP="00D31540">
            <w:pPr>
              <w:jc w:val="center"/>
              <w:rPr>
                <w:lang w:val="uk-UA"/>
              </w:rPr>
            </w:pPr>
            <w:r w:rsidRPr="00254AE3">
              <w:rPr>
                <w:lang w:val="uk-UA"/>
              </w:rPr>
              <w:t>-</w:t>
            </w:r>
          </w:p>
        </w:tc>
        <w:tc>
          <w:tcPr>
            <w:tcW w:w="1134" w:type="dxa"/>
          </w:tcPr>
          <w:p w:rsidR="000E189B" w:rsidRPr="00254AE3" w:rsidRDefault="000E189B" w:rsidP="00D31540">
            <w:pPr>
              <w:jc w:val="center"/>
              <w:rPr>
                <w:lang w:val="uk-UA"/>
              </w:rPr>
            </w:pPr>
            <w:r w:rsidRPr="00254AE3">
              <w:rPr>
                <w:lang w:val="uk-UA"/>
              </w:rPr>
              <w:t>-</w:t>
            </w:r>
          </w:p>
        </w:tc>
        <w:tc>
          <w:tcPr>
            <w:tcW w:w="1134" w:type="dxa"/>
          </w:tcPr>
          <w:p w:rsidR="000E189B" w:rsidRPr="00254AE3" w:rsidRDefault="000E189B" w:rsidP="00D31540">
            <w:pPr>
              <w:jc w:val="center"/>
              <w:rPr>
                <w:lang w:val="uk-UA"/>
              </w:rPr>
            </w:pPr>
            <w:r w:rsidRPr="00254AE3">
              <w:rPr>
                <w:lang w:val="uk-UA"/>
              </w:rPr>
              <w:t>-</w:t>
            </w:r>
          </w:p>
        </w:tc>
        <w:tc>
          <w:tcPr>
            <w:tcW w:w="1134" w:type="dxa"/>
          </w:tcPr>
          <w:p w:rsidR="000E189B" w:rsidRPr="00254AE3" w:rsidRDefault="000E189B" w:rsidP="00D31540">
            <w:pPr>
              <w:jc w:val="center"/>
              <w:rPr>
                <w:lang w:val="uk-UA"/>
              </w:rPr>
            </w:pPr>
            <w:r w:rsidRPr="00254AE3">
              <w:rPr>
                <w:lang w:val="uk-UA"/>
              </w:rPr>
              <w:t>-</w:t>
            </w:r>
          </w:p>
        </w:tc>
      </w:tr>
      <w:tr w:rsidR="000E189B" w:rsidRPr="00254AE3" w:rsidTr="00D31540">
        <w:trPr>
          <w:trHeight w:val="1455"/>
        </w:trPr>
        <w:tc>
          <w:tcPr>
            <w:tcW w:w="419" w:type="dxa"/>
            <w:vMerge w:val="restart"/>
          </w:tcPr>
          <w:p w:rsidR="000E189B" w:rsidRPr="00254AE3" w:rsidRDefault="000E189B" w:rsidP="00D3154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2</w:t>
            </w:r>
            <w:r w:rsidRPr="00254AE3">
              <w:rPr>
                <w:lang w:val="uk-UA"/>
              </w:rPr>
              <w:t>.</w:t>
            </w:r>
          </w:p>
        </w:tc>
        <w:tc>
          <w:tcPr>
            <w:tcW w:w="3040" w:type="dxa"/>
            <w:vMerge w:val="restart"/>
            <w:shd w:val="clear" w:color="auto" w:fill="auto"/>
          </w:tcPr>
          <w:p w:rsidR="000E189B" w:rsidRPr="00254AE3" w:rsidRDefault="000E189B" w:rsidP="00D31540">
            <w:pPr>
              <w:rPr>
                <w:lang w:val="uk-UA"/>
              </w:rPr>
            </w:pPr>
            <w:r w:rsidRPr="00254AE3">
              <w:rPr>
                <w:lang w:val="uk-UA"/>
              </w:rPr>
              <w:t xml:space="preserve">Організація та проведення місцевих інвестиційних та економічних, галузевих форумів </w:t>
            </w:r>
            <w:r>
              <w:rPr>
                <w:lang w:val="uk-UA"/>
              </w:rPr>
              <w:t>на території району</w:t>
            </w:r>
          </w:p>
        </w:tc>
        <w:tc>
          <w:tcPr>
            <w:tcW w:w="3828" w:type="dxa"/>
            <w:vMerge w:val="restart"/>
          </w:tcPr>
          <w:p w:rsidR="000E189B" w:rsidRPr="00254AE3" w:rsidRDefault="000E189B" w:rsidP="00D31540">
            <w:pPr>
              <w:rPr>
                <w:lang w:val="uk-UA"/>
              </w:rPr>
            </w:pPr>
            <w:r>
              <w:rPr>
                <w:szCs w:val="28"/>
                <w:lang w:val="uk-UA"/>
              </w:rPr>
              <w:t>У</w:t>
            </w:r>
            <w:r w:rsidRPr="005F78E5">
              <w:rPr>
                <w:szCs w:val="28"/>
                <w:lang w:val="uk-UA"/>
              </w:rPr>
              <w:t>правління економічного та агропромислового розвитку, житлово-комунального господарства, містобудування, архітектури</w:t>
            </w:r>
            <w:r w:rsidRPr="005F78E5">
              <w:rPr>
                <w:sz w:val="22"/>
                <w:lang w:val="uk-UA"/>
              </w:rPr>
              <w:t xml:space="preserve"> </w:t>
            </w:r>
            <w:r>
              <w:rPr>
                <w:lang w:val="uk-UA"/>
              </w:rPr>
              <w:t>райдержадміністрації</w:t>
            </w:r>
            <w:r w:rsidRPr="00254AE3">
              <w:rPr>
                <w:lang w:val="uk-UA"/>
              </w:rPr>
              <w:t>, виконавчі комітети сільських, селищних та міських рад, інші спеціалізовані установи (за згодою)</w:t>
            </w:r>
          </w:p>
        </w:tc>
        <w:tc>
          <w:tcPr>
            <w:tcW w:w="1417" w:type="dxa"/>
            <w:vMerge w:val="restart"/>
          </w:tcPr>
          <w:p w:rsidR="000E189B" w:rsidRPr="00254AE3" w:rsidRDefault="000E189B" w:rsidP="00D31540">
            <w:pPr>
              <w:jc w:val="center"/>
              <w:rPr>
                <w:lang w:val="uk-UA"/>
              </w:rPr>
            </w:pPr>
            <w:r w:rsidRPr="00254AE3">
              <w:rPr>
                <w:lang w:val="uk-UA"/>
              </w:rPr>
              <w:t>2024 – 2027 роки</w:t>
            </w:r>
          </w:p>
        </w:tc>
        <w:tc>
          <w:tcPr>
            <w:tcW w:w="1843" w:type="dxa"/>
          </w:tcPr>
          <w:p w:rsidR="000E189B" w:rsidRPr="00254AE3" w:rsidRDefault="000E189B" w:rsidP="00D3154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районний</w:t>
            </w:r>
          </w:p>
          <w:p w:rsidR="000E189B" w:rsidRPr="00254AE3" w:rsidRDefault="000E189B" w:rsidP="00D31540">
            <w:pPr>
              <w:jc w:val="center"/>
              <w:rPr>
                <w:lang w:val="uk-UA"/>
              </w:rPr>
            </w:pPr>
            <w:r w:rsidRPr="00254AE3">
              <w:rPr>
                <w:lang w:val="uk-UA"/>
              </w:rPr>
              <w:t>бюджет</w:t>
            </w:r>
          </w:p>
          <w:p w:rsidR="000E189B" w:rsidRPr="00254AE3" w:rsidRDefault="000E189B" w:rsidP="00D31540">
            <w:pPr>
              <w:jc w:val="center"/>
              <w:rPr>
                <w:lang w:val="uk-UA"/>
              </w:rPr>
            </w:pPr>
          </w:p>
          <w:p w:rsidR="000E189B" w:rsidRPr="00254AE3" w:rsidRDefault="000E189B" w:rsidP="00D31540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:rsidR="000E189B" w:rsidRPr="00254AE3" w:rsidRDefault="000E189B" w:rsidP="00D3154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  <w:r w:rsidRPr="00254AE3">
              <w:rPr>
                <w:lang w:val="uk-UA"/>
              </w:rPr>
              <w:t>,0</w:t>
            </w:r>
          </w:p>
        </w:tc>
        <w:tc>
          <w:tcPr>
            <w:tcW w:w="1134" w:type="dxa"/>
          </w:tcPr>
          <w:p w:rsidR="000E189B" w:rsidRPr="00254AE3" w:rsidRDefault="000E189B" w:rsidP="00D3154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</w:t>
            </w:r>
            <w:r w:rsidRPr="00254AE3">
              <w:rPr>
                <w:lang w:val="uk-UA"/>
              </w:rPr>
              <w:t>,0</w:t>
            </w:r>
          </w:p>
        </w:tc>
        <w:tc>
          <w:tcPr>
            <w:tcW w:w="1134" w:type="dxa"/>
          </w:tcPr>
          <w:p w:rsidR="000E189B" w:rsidRPr="00254AE3" w:rsidRDefault="000E189B" w:rsidP="00D3154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</w:t>
            </w:r>
            <w:r w:rsidRPr="00254AE3">
              <w:rPr>
                <w:lang w:val="uk-UA"/>
              </w:rPr>
              <w:t>,0</w:t>
            </w:r>
          </w:p>
        </w:tc>
        <w:tc>
          <w:tcPr>
            <w:tcW w:w="1134" w:type="dxa"/>
          </w:tcPr>
          <w:p w:rsidR="000E189B" w:rsidRPr="00254AE3" w:rsidRDefault="000E189B" w:rsidP="00D3154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</w:t>
            </w:r>
            <w:r w:rsidRPr="00254AE3">
              <w:rPr>
                <w:lang w:val="uk-UA"/>
              </w:rPr>
              <w:t>,0</w:t>
            </w:r>
          </w:p>
        </w:tc>
      </w:tr>
      <w:tr w:rsidR="000E189B" w:rsidRPr="00254AE3" w:rsidTr="00D31540">
        <w:trPr>
          <w:trHeight w:val="1013"/>
        </w:trPr>
        <w:tc>
          <w:tcPr>
            <w:tcW w:w="419" w:type="dxa"/>
            <w:vMerge/>
          </w:tcPr>
          <w:p w:rsidR="000E189B" w:rsidRPr="00254AE3" w:rsidRDefault="000E189B" w:rsidP="00D31540">
            <w:pPr>
              <w:jc w:val="center"/>
              <w:rPr>
                <w:lang w:val="uk-UA"/>
              </w:rPr>
            </w:pPr>
          </w:p>
        </w:tc>
        <w:tc>
          <w:tcPr>
            <w:tcW w:w="3040" w:type="dxa"/>
            <w:vMerge/>
            <w:shd w:val="clear" w:color="auto" w:fill="auto"/>
          </w:tcPr>
          <w:p w:rsidR="000E189B" w:rsidRPr="00254AE3" w:rsidRDefault="000E189B" w:rsidP="00D31540">
            <w:pPr>
              <w:rPr>
                <w:lang w:val="uk-UA"/>
              </w:rPr>
            </w:pPr>
          </w:p>
        </w:tc>
        <w:tc>
          <w:tcPr>
            <w:tcW w:w="3828" w:type="dxa"/>
            <w:vMerge/>
          </w:tcPr>
          <w:p w:rsidR="000E189B" w:rsidRPr="00254AE3" w:rsidRDefault="000E189B" w:rsidP="00D31540">
            <w:pPr>
              <w:rPr>
                <w:lang w:val="uk-UA"/>
              </w:rPr>
            </w:pPr>
          </w:p>
        </w:tc>
        <w:tc>
          <w:tcPr>
            <w:tcW w:w="1417" w:type="dxa"/>
            <w:vMerge/>
          </w:tcPr>
          <w:p w:rsidR="000E189B" w:rsidRPr="00254AE3" w:rsidRDefault="000E189B" w:rsidP="00D31540">
            <w:pPr>
              <w:jc w:val="center"/>
              <w:rPr>
                <w:lang w:val="uk-UA"/>
              </w:rPr>
            </w:pPr>
          </w:p>
        </w:tc>
        <w:tc>
          <w:tcPr>
            <w:tcW w:w="1843" w:type="dxa"/>
          </w:tcPr>
          <w:p w:rsidR="000E189B" w:rsidRPr="00254AE3" w:rsidRDefault="000E189B" w:rsidP="00D31540">
            <w:pPr>
              <w:jc w:val="center"/>
              <w:rPr>
                <w:lang w:val="uk-UA"/>
              </w:rPr>
            </w:pPr>
            <w:r w:rsidRPr="00254AE3">
              <w:rPr>
                <w:lang w:val="uk-UA"/>
              </w:rPr>
              <w:t xml:space="preserve">інші джерела, </w:t>
            </w:r>
            <w:r w:rsidRPr="00254AE3">
              <w:rPr>
                <w:lang w:val="uk-UA"/>
              </w:rPr>
              <w:br/>
              <w:t>не заборонені законодавством</w:t>
            </w:r>
          </w:p>
        </w:tc>
        <w:tc>
          <w:tcPr>
            <w:tcW w:w="1134" w:type="dxa"/>
          </w:tcPr>
          <w:p w:rsidR="000E189B" w:rsidRPr="00254AE3" w:rsidRDefault="000E189B" w:rsidP="00D31540">
            <w:pPr>
              <w:jc w:val="center"/>
              <w:rPr>
                <w:lang w:val="uk-UA"/>
              </w:rPr>
            </w:pPr>
            <w:r w:rsidRPr="00254AE3">
              <w:rPr>
                <w:lang w:val="uk-UA"/>
              </w:rPr>
              <w:t>-</w:t>
            </w:r>
          </w:p>
        </w:tc>
        <w:tc>
          <w:tcPr>
            <w:tcW w:w="1134" w:type="dxa"/>
          </w:tcPr>
          <w:p w:rsidR="000E189B" w:rsidRPr="00254AE3" w:rsidRDefault="000E189B" w:rsidP="00D31540">
            <w:pPr>
              <w:jc w:val="center"/>
              <w:rPr>
                <w:lang w:val="uk-UA"/>
              </w:rPr>
            </w:pPr>
            <w:r w:rsidRPr="00254AE3">
              <w:rPr>
                <w:lang w:val="uk-UA"/>
              </w:rPr>
              <w:t>-</w:t>
            </w:r>
          </w:p>
        </w:tc>
        <w:tc>
          <w:tcPr>
            <w:tcW w:w="1134" w:type="dxa"/>
          </w:tcPr>
          <w:p w:rsidR="000E189B" w:rsidRPr="00254AE3" w:rsidRDefault="000E189B" w:rsidP="00D31540">
            <w:pPr>
              <w:jc w:val="center"/>
              <w:rPr>
                <w:lang w:val="uk-UA"/>
              </w:rPr>
            </w:pPr>
            <w:r w:rsidRPr="00254AE3">
              <w:rPr>
                <w:lang w:val="uk-UA"/>
              </w:rPr>
              <w:t>-</w:t>
            </w:r>
          </w:p>
        </w:tc>
        <w:tc>
          <w:tcPr>
            <w:tcW w:w="1134" w:type="dxa"/>
          </w:tcPr>
          <w:p w:rsidR="000E189B" w:rsidRPr="00254AE3" w:rsidRDefault="000E189B" w:rsidP="00D31540">
            <w:pPr>
              <w:jc w:val="center"/>
              <w:rPr>
                <w:lang w:val="uk-UA"/>
              </w:rPr>
            </w:pPr>
            <w:r w:rsidRPr="00254AE3">
              <w:rPr>
                <w:lang w:val="uk-UA"/>
              </w:rPr>
              <w:t>-</w:t>
            </w:r>
          </w:p>
        </w:tc>
      </w:tr>
      <w:tr w:rsidR="000E189B" w:rsidRPr="00254AE3" w:rsidTr="00D31540">
        <w:trPr>
          <w:trHeight w:val="555"/>
        </w:trPr>
        <w:tc>
          <w:tcPr>
            <w:tcW w:w="419" w:type="dxa"/>
            <w:vMerge w:val="restart"/>
          </w:tcPr>
          <w:p w:rsidR="000E189B" w:rsidRPr="00254AE3" w:rsidRDefault="000E189B" w:rsidP="00D3154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Pr="00254AE3">
              <w:rPr>
                <w:lang w:val="uk-UA"/>
              </w:rPr>
              <w:t>.</w:t>
            </w:r>
          </w:p>
        </w:tc>
        <w:tc>
          <w:tcPr>
            <w:tcW w:w="3040" w:type="dxa"/>
            <w:vMerge w:val="restart"/>
          </w:tcPr>
          <w:p w:rsidR="000E189B" w:rsidRPr="00254AE3" w:rsidRDefault="000E189B" w:rsidP="00D31540">
            <w:pPr>
              <w:rPr>
                <w:rFonts w:eastAsia="Calibri"/>
                <w:lang w:val="uk-UA"/>
              </w:rPr>
            </w:pPr>
            <w:r w:rsidRPr="00254AE3">
              <w:rPr>
                <w:lang w:val="uk-UA"/>
              </w:rPr>
              <w:t xml:space="preserve">Розроблення та забезпечення реалізації інвестиційних програм та </w:t>
            </w:r>
            <w:proofErr w:type="spellStart"/>
            <w:r w:rsidRPr="00254AE3">
              <w:rPr>
                <w:lang w:val="uk-UA"/>
              </w:rPr>
              <w:t>проєктів</w:t>
            </w:r>
            <w:proofErr w:type="spellEnd"/>
            <w:r w:rsidRPr="00254AE3">
              <w:rPr>
                <w:lang w:val="uk-UA"/>
              </w:rPr>
              <w:t xml:space="preserve"> регіонального розвитку, які відповідають пріоритетам  Стратегії розвитку Рівненської області на період до 2027 року та плану із реалізації  зазначеної Стратегії, в тому</w:t>
            </w:r>
            <w:r>
              <w:rPr>
                <w:lang w:val="uk-UA"/>
              </w:rPr>
              <w:t xml:space="preserve"> </w:t>
            </w:r>
            <w:r w:rsidRPr="00254AE3">
              <w:rPr>
                <w:lang w:val="uk-UA"/>
              </w:rPr>
              <w:t xml:space="preserve">числі тих, що можуть реалізовуватися за рахунок коштів державного бюджету, коштів обласного та місцевих бюджетів області, коштів </w:t>
            </w:r>
            <w:r w:rsidRPr="00254AE3">
              <w:rPr>
                <w:rFonts w:eastAsia="Calibri"/>
                <w:lang w:val="uk-UA"/>
              </w:rPr>
              <w:t>міжнародної технічної допомоги,</w:t>
            </w:r>
            <w:r w:rsidRPr="00254AE3">
              <w:rPr>
                <w:lang w:val="uk-UA"/>
              </w:rPr>
              <w:t xml:space="preserve"> інших</w:t>
            </w:r>
            <w:r w:rsidRPr="00254AE3">
              <w:rPr>
                <w:rFonts w:eastAsia="Calibri"/>
                <w:lang w:val="uk-UA"/>
              </w:rPr>
              <w:t xml:space="preserve"> джерел фінансування, не заборонених законом</w:t>
            </w:r>
          </w:p>
        </w:tc>
        <w:tc>
          <w:tcPr>
            <w:tcW w:w="3828" w:type="dxa"/>
            <w:vMerge w:val="restart"/>
          </w:tcPr>
          <w:p w:rsidR="000E189B" w:rsidRPr="00254AE3" w:rsidRDefault="000E189B" w:rsidP="00D31540">
            <w:pPr>
              <w:rPr>
                <w:rFonts w:eastAsia="Calibri"/>
                <w:lang w:val="uk-UA"/>
              </w:rPr>
            </w:pPr>
            <w:r>
              <w:rPr>
                <w:szCs w:val="28"/>
                <w:lang w:val="uk-UA"/>
              </w:rPr>
              <w:t>У</w:t>
            </w:r>
            <w:r w:rsidRPr="005F78E5">
              <w:rPr>
                <w:szCs w:val="28"/>
                <w:lang w:val="uk-UA"/>
              </w:rPr>
              <w:t>правління економічного та агропромислового розвитку, житлово-комунального господарства, містобудування, архітектури</w:t>
            </w:r>
            <w:r w:rsidRPr="005F78E5">
              <w:rPr>
                <w:sz w:val="22"/>
                <w:lang w:val="uk-UA"/>
              </w:rPr>
              <w:t xml:space="preserve"> </w:t>
            </w:r>
            <w:r>
              <w:rPr>
                <w:lang w:val="uk-UA"/>
              </w:rPr>
              <w:t>райдержадміністрації</w:t>
            </w:r>
            <w:r w:rsidRPr="00254AE3">
              <w:rPr>
                <w:lang w:val="uk-UA"/>
              </w:rPr>
              <w:t>, виконавчі комітети сі</w:t>
            </w:r>
            <w:r>
              <w:rPr>
                <w:lang w:val="uk-UA"/>
              </w:rPr>
              <w:t>льських, селищних та міських рад</w:t>
            </w:r>
            <w:r w:rsidRPr="00254AE3">
              <w:rPr>
                <w:lang w:val="uk-UA"/>
              </w:rPr>
              <w:t>,  інші спеціалізовані установи (за згодою)</w:t>
            </w:r>
          </w:p>
        </w:tc>
        <w:tc>
          <w:tcPr>
            <w:tcW w:w="1417" w:type="dxa"/>
            <w:vMerge w:val="restart"/>
          </w:tcPr>
          <w:p w:rsidR="000E189B" w:rsidRPr="00254AE3" w:rsidRDefault="000E189B" w:rsidP="00D31540">
            <w:pPr>
              <w:jc w:val="center"/>
              <w:rPr>
                <w:lang w:val="uk-UA"/>
              </w:rPr>
            </w:pPr>
            <w:r w:rsidRPr="00254AE3">
              <w:rPr>
                <w:lang w:val="uk-UA"/>
              </w:rPr>
              <w:t>2024 – 2027 роки</w:t>
            </w:r>
          </w:p>
        </w:tc>
        <w:tc>
          <w:tcPr>
            <w:tcW w:w="1843" w:type="dxa"/>
          </w:tcPr>
          <w:p w:rsidR="000E189B" w:rsidRPr="00254AE3" w:rsidRDefault="000E189B" w:rsidP="00D3154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районний</w:t>
            </w:r>
          </w:p>
          <w:p w:rsidR="000E189B" w:rsidRPr="00254AE3" w:rsidRDefault="000E189B" w:rsidP="00D31540">
            <w:pPr>
              <w:jc w:val="center"/>
              <w:rPr>
                <w:lang w:val="uk-UA"/>
              </w:rPr>
            </w:pPr>
            <w:r w:rsidRPr="00254AE3">
              <w:rPr>
                <w:lang w:val="uk-UA"/>
              </w:rPr>
              <w:t>бюджет</w:t>
            </w:r>
          </w:p>
          <w:p w:rsidR="000E189B" w:rsidRPr="00254AE3" w:rsidRDefault="000E189B" w:rsidP="00D31540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:rsidR="000E189B" w:rsidRPr="00254AE3" w:rsidRDefault="000E189B" w:rsidP="00D3154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</w:t>
            </w:r>
            <w:r w:rsidRPr="00254AE3">
              <w:rPr>
                <w:lang w:val="uk-UA"/>
              </w:rPr>
              <w:t>,0</w:t>
            </w:r>
          </w:p>
        </w:tc>
        <w:tc>
          <w:tcPr>
            <w:tcW w:w="1134" w:type="dxa"/>
          </w:tcPr>
          <w:p w:rsidR="000E189B" w:rsidRPr="00254AE3" w:rsidRDefault="000E189B" w:rsidP="00D3154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</w:t>
            </w:r>
            <w:r w:rsidRPr="00254AE3">
              <w:rPr>
                <w:lang w:val="uk-UA"/>
              </w:rPr>
              <w:t>,0</w:t>
            </w:r>
          </w:p>
        </w:tc>
        <w:tc>
          <w:tcPr>
            <w:tcW w:w="1134" w:type="dxa"/>
          </w:tcPr>
          <w:p w:rsidR="000E189B" w:rsidRPr="00254AE3" w:rsidRDefault="000E189B" w:rsidP="00D3154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32</w:t>
            </w:r>
            <w:r w:rsidRPr="00254AE3">
              <w:rPr>
                <w:lang w:val="uk-UA"/>
              </w:rPr>
              <w:t>,0</w:t>
            </w:r>
          </w:p>
        </w:tc>
        <w:tc>
          <w:tcPr>
            <w:tcW w:w="1134" w:type="dxa"/>
          </w:tcPr>
          <w:p w:rsidR="000E189B" w:rsidRPr="00254AE3" w:rsidRDefault="000E189B" w:rsidP="00D3154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35</w:t>
            </w:r>
            <w:r w:rsidRPr="00254AE3">
              <w:rPr>
                <w:lang w:val="uk-UA"/>
              </w:rPr>
              <w:t>,0</w:t>
            </w:r>
          </w:p>
        </w:tc>
      </w:tr>
      <w:tr w:rsidR="000E189B" w:rsidRPr="00254AE3" w:rsidTr="00D31540">
        <w:trPr>
          <w:trHeight w:val="1338"/>
        </w:trPr>
        <w:tc>
          <w:tcPr>
            <w:tcW w:w="419" w:type="dxa"/>
            <w:vMerge/>
          </w:tcPr>
          <w:p w:rsidR="000E189B" w:rsidRPr="00254AE3" w:rsidRDefault="000E189B" w:rsidP="00D31540">
            <w:pPr>
              <w:rPr>
                <w:lang w:val="uk-UA"/>
              </w:rPr>
            </w:pPr>
          </w:p>
        </w:tc>
        <w:tc>
          <w:tcPr>
            <w:tcW w:w="3040" w:type="dxa"/>
            <w:vMerge/>
          </w:tcPr>
          <w:p w:rsidR="000E189B" w:rsidRPr="00254AE3" w:rsidRDefault="000E189B" w:rsidP="00D31540">
            <w:pPr>
              <w:rPr>
                <w:lang w:val="uk-UA"/>
              </w:rPr>
            </w:pPr>
          </w:p>
        </w:tc>
        <w:tc>
          <w:tcPr>
            <w:tcW w:w="3828" w:type="dxa"/>
            <w:vMerge/>
          </w:tcPr>
          <w:p w:rsidR="000E189B" w:rsidRPr="00254AE3" w:rsidRDefault="000E189B" w:rsidP="00D31540">
            <w:pPr>
              <w:rPr>
                <w:lang w:val="uk-UA"/>
              </w:rPr>
            </w:pPr>
          </w:p>
        </w:tc>
        <w:tc>
          <w:tcPr>
            <w:tcW w:w="1417" w:type="dxa"/>
            <w:vMerge/>
          </w:tcPr>
          <w:p w:rsidR="000E189B" w:rsidRPr="00254AE3" w:rsidRDefault="000E189B" w:rsidP="00D31540">
            <w:pPr>
              <w:jc w:val="center"/>
              <w:rPr>
                <w:lang w:val="uk-UA"/>
              </w:rPr>
            </w:pPr>
          </w:p>
        </w:tc>
        <w:tc>
          <w:tcPr>
            <w:tcW w:w="1843" w:type="dxa"/>
          </w:tcPr>
          <w:p w:rsidR="000E189B" w:rsidRPr="00254AE3" w:rsidRDefault="000E189B" w:rsidP="00D31540">
            <w:pPr>
              <w:jc w:val="center"/>
              <w:rPr>
                <w:lang w:val="uk-UA"/>
              </w:rPr>
            </w:pPr>
            <w:r w:rsidRPr="00254AE3">
              <w:rPr>
                <w:lang w:val="uk-UA"/>
              </w:rPr>
              <w:t xml:space="preserve">інші джерела, </w:t>
            </w:r>
            <w:r w:rsidRPr="00254AE3">
              <w:rPr>
                <w:lang w:val="uk-UA"/>
              </w:rPr>
              <w:br/>
              <w:t>не заборонені законодавством</w:t>
            </w:r>
          </w:p>
        </w:tc>
        <w:tc>
          <w:tcPr>
            <w:tcW w:w="1134" w:type="dxa"/>
          </w:tcPr>
          <w:p w:rsidR="000E189B" w:rsidRPr="00254AE3" w:rsidRDefault="000E189B" w:rsidP="00D31540">
            <w:pPr>
              <w:jc w:val="center"/>
              <w:rPr>
                <w:lang w:val="uk-UA"/>
              </w:rPr>
            </w:pPr>
            <w:r w:rsidRPr="00254AE3">
              <w:rPr>
                <w:lang w:val="uk-UA"/>
              </w:rPr>
              <w:t>-</w:t>
            </w:r>
          </w:p>
        </w:tc>
        <w:tc>
          <w:tcPr>
            <w:tcW w:w="1134" w:type="dxa"/>
          </w:tcPr>
          <w:p w:rsidR="000E189B" w:rsidRPr="00254AE3" w:rsidRDefault="000E189B" w:rsidP="00D31540">
            <w:pPr>
              <w:jc w:val="center"/>
              <w:rPr>
                <w:lang w:val="uk-UA"/>
              </w:rPr>
            </w:pPr>
            <w:r w:rsidRPr="00254AE3">
              <w:rPr>
                <w:lang w:val="uk-UA"/>
              </w:rPr>
              <w:t>-</w:t>
            </w:r>
          </w:p>
        </w:tc>
        <w:tc>
          <w:tcPr>
            <w:tcW w:w="1134" w:type="dxa"/>
          </w:tcPr>
          <w:p w:rsidR="000E189B" w:rsidRPr="00254AE3" w:rsidRDefault="000E189B" w:rsidP="00D31540">
            <w:pPr>
              <w:jc w:val="center"/>
              <w:rPr>
                <w:lang w:val="uk-UA"/>
              </w:rPr>
            </w:pPr>
            <w:r w:rsidRPr="00254AE3">
              <w:rPr>
                <w:lang w:val="uk-UA"/>
              </w:rPr>
              <w:t>-</w:t>
            </w:r>
          </w:p>
        </w:tc>
        <w:tc>
          <w:tcPr>
            <w:tcW w:w="1134" w:type="dxa"/>
          </w:tcPr>
          <w:p w:rsidR="000E189B" w:rsidRPr="00254AE3" w:rsidRDefault="000E189B" w:rsidP="00D31540">
            <w:pPr>
              <w:jc w:val="center"/>
              <w:rPr>
                <w:lang w:val="uk-UA"/>
              </w:rPr>
            </w:pPr>
            <w:r w:rsidRPr="00254AE3">
              <w:rPr>
                <w:lang w:val="uk-UA"/>
              </w:rPr>
              <w:t>-</w:t>
            </w:r>
          </w:p>
        </w:tc>
      </w:tr>
      <w:tr w:rsidR="000E189B" w:rsidRPr="00254AE3" w:rsidTr="00D31540">
        <w:trPr>
          <w:trHeight w:val="343"/>
        </w:trPr>
        <w:tc>
          <w:tcPr>
            <w:tcW w:w="10547" w:type="dxa"/>
            <w:gridSpan w:val="5"/>
            <w:vAlign w:val="center"/>
          </w:tcPr>
          <w:p w:rsidR="000E189B" w:rsidRPr="00254AE3" w:rsidRDefault="000E189B" w:rsidP="00D31540">
            <w:pPr>
              <w:rPr>
                <w:b/>
                <w:bCs/>
                <w:lang w:val="uk-UA"/>
              </w:rPr>
            </w:pPr>
            <w:r w:rsidRPr="00254AE3">
              <w:rPr>
                <w:b/>
                <w:bCs/>
                <w:lang w:val="uk-UA"/>
              </w:rPr>
              <w:t xml:space="preserve">Всього за Програмою, в </w:t>
            </w:r>
            <w:proofErr w:type="spellStart"/>
            <w:r w:rsidRPr="00254AE3">
              <w:rPr>
                <w:b/>
                <w:bCs/>
                <w:lang w:val="uk-UA"/>
              </w:rPr>
              <w:t>т.ч</w:t>
            </w:r>
            <w:proofErr w:type="spellEnd"/>
            <w:r w:rsidRPr="00254AE3">
              <w:rPr>
                <w:b/>
                <w:bCs/>
                <w:lang w:val="uk-UA"/>
              </w:rPr>
              <w:t>.:</w:t>
            </w:r>
          </w:p>
        </w:tc>
        <w:tc>
          <w:tcPr>
            <w:tcW w:w="1134" w:type="dxa"/>
            <w:shd w:val="clear" w:color="auto" w:fill="FFFFFF"/>
          </w:tcPr>
          <w:p w:rsidR="000E189B" w:rsidRPr="00254AE3" w:rsidRDefault="000E189B" w:rsidP="00D31540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55</w:t>
            </w:r>
            <w:r w:rsidRPr="00254AE3">
              <w:rPr>
                <w:b/>
                <w:bCs/>
                <w:lang w:val="uk-UA"/>
              </w:rPr>
              <w:t>,0</w:t>
            </w:r>
          </w:p>
        </w:tc>
        <w:tc>
          <w:tcPr>
            <w:tcW w:w="1134" w:type="dxa"/>
            <w:shd w:val="clear" w:color="auto" w:fill="FFFFFF"/>
          </w:tcPr>
          <w:p w:rsidR="000E189B" w:rsidRPr="00254AE3" w:rsidRDefault="000E189B" w:rsidP="00D31540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63</w:t>
            </w:r>
            <w:r w:rsidRPr="00254AE3">
              <w:rPr>
                <w:b/>
                <w:bCs/>
                <w:lang w:val="uk-UA"/>
              </w:rPr>
              <w:t>,0</w:t>
            </w:r>
          </w:p>
        </w:tc>
        <w:tc>
          <w:tcPr>
            <w:tcW w:w="1134" w:type="dxa"/>
            <w:shd w:val="clear" w:color="auto" w:fill="FFFFFF"/>
          </w:tcPr>
          <w:p w:rsidR="000E189B" w:rsidRPr="00254AE3" w:rsidRDefault="000E189B" w:rsidP="00D31540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69</w:t>
            </w:r>
            <w:r w:rsidRPr="00254AE3">
              <w:rPr>
                <w:b/>
                <w:bCs/>
                <w:lang w:val="uk-UA"/>
              </w:rPr>
              <w:t>,0</w:t>
            </w:r>
          </w:p>
        </w:tc>
        <w:tc>
          <w:tcPr>
            <w:tcW w:w="1134" w:type="dxa"/>
            <w:shd w:val="clear" w:color="auto" w:fill="FFFFFF"/>
          </w:tcPr>
          <w:p w:rsidR="000E189B" w:rsidRPr="00254AE3" w:rsidRDefault="000E189B" w:rsidP="00D31540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75</w:t>
            </w:r>
            <w:r w:rsidRPr="00254AE3">
              <w:rPr>
                <w:b/>
                <w:bCs/>
                <w:lang w:val="uk-UA"/>
              </w:rPr>
              <w:t>,0</w:t>
            </w:r>
          </w:p>
        </w:tc>
      </w:tr>
      <w:tr w:rsidR="000E189B" w:rsidRPr="00254AE3" w:rsidTr="00D31540">
        <w:trPr>
          <w:trHeight w:val="257"/>
        </w:trPr>
        <w:tc>
          <w:tcPr>
            <w:tcW w:w="10547" w:type="dxa"/>
            <w:gridSpan w:val="5"/>
            <w:vAlign w:val="center"/>
          </w:tcPr>
          <w:p w:rsidR="000E189B" w:rsidRPr="00254AE3" w:rsidRDefault="000E189B" w:rsidP="00D31540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lastRenderedPageBreak/>
              <w:t>районний</w:t>
            </w:r>
            <w:r w:rsidRPr="00254AE3">
              <w:rPr>
                <w:b/>
                <w:bCs/>
                <w:lang w:val="uk-UA"/>
              </w:rPr>
              <w:t xml:space="preserve"> бюджет</w:t>
            </w:r>
          </w:p>
        </w:tc>
        <w:tc>
          <w:tcPr>
            <w:tcW w:w="1134" w:type="dxa"/>
            <w:shd w:val="clear" w:color="auto" w:fill="FFFFFF"/>
          </w:tcPr>
          <w:p w:rsidR="000E189B" w:rsidRPr="00254AE3" w:rsidRDefault="000E189B" w:rsidP="00D31540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55</w:t>
            </w:r>
            <w:r w:rsidRPr="00254AE3">
              <w:rPr>
                <w:b/>
                <w:bCs/>
                <w:lang w:val="uk-UA"/>
              </w:rPr>
              <w:t>,0</w:t>
            </w:r>
          </w:p>
        </w:tc>
        <w:tc>
          <w:tcPr>
            <w:tcW w:w="1134" w:type="dxa"/>
            <w:shd w:val="clear" w:color="auto" w:fill="FFFFFF"/>
          </w:tcPr>
          <w:p w:rsidR="000E189B" w:rsidRPr="00254AE3" w:rsidRDefault="000E189B" w:rsidP="00D31540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63</w:t>
            </w:r>
            <w:r w:rsidRPr="00254AE3">
              <w:rPr>
                <w:b/>
                <w:bCs/>
                <w:lang w:val="uk-UA"/>
              </w:rPr>
              <w:t>,0</w:t>
            </w:r>
          </w:p>
        </w:tc>
        <w:tc>
          <w:tcPr>
            <w:tcW w:w="1134" w:type="dxa"/>
            <w:shd w:val="clear" w:color="auto" w:fill="FFFFFF"/>
          </w:tcPr>
          <w:p w:rsidR="000E189B" w:rsidRPr="00254AE3" w:rsidRDefault="000E189B" w:rsidP="00D31540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69</w:t>
            </w:r>
            <w:r w:rsidRPr="00254AE3">
              <w:rPr>
                <w:b/>
                <w:bCs/>
                <w:lang w:val="uk-UA"/>
              </w:rPr>
              <w:t>,0</w:t>
            </w:r>
          </w:p>
        </w:tc>
        <w:tc>
          <w:tcPr>
            <w:tcW w:w="1134" w:type="dxa"/>
            <w:shd w:val="clear" w:color="auto" w:fill="FFFFFF"/>
          </w:tcPr>
          <w:p w:rsidR="000E189B" w:rsidRPr="00254AE3" w:rsidRDefault="000E189B" w:rsidP="00D31540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75</w:t>
            </w:r>
            <w:r w:rsidRPr="00254AE3">
              <w:rPr>
                <w:b/>
                <w:bCs/>
                <w:lang w:val="uk-UA"/>
              </w:rPr>
              <w:t>,0</w:t>
            </w:r>
          </w:p>
        </w:tc>
      </w:tr>
      <w:tr w:rsidR="000E189B" w:rsidRPr="00254AE3" w:rsidTr="00D31540">
        <w:trPr>
          <w:trHeight w:val="264"/>
        </w:trPr>
        <w:tc>
          <w:tcPr>
            <w:tcW w:w="10547" w:type="dxa"/>
            <w:gridSpan w:val="5"/>
            <w:vAlign w:val="center"/>
          </w:tcPr>
          <w:p w:rsidR="000E189B" w:rsidRPr="00254AE3" w:rsidRDefault="000E189B" w:rsidP="00D31540">
            <w:pPr>
              <w:rPr>
                <w:b/>
                <w:bCs/>
                <w:lang w:val="uk-UA"/>
              </w:rPr>
            </w:pPr>
            <w:r w:rsidRPr="00254AE3">
              <w:rPr>
                <w:b/>
                <w:bCs/>
                <w:lang w:val="uk-UA"/>
              </w:rPr>
              <w:t>інші джерела, не заборонені законодавством</w:t>
            </w:r>
          </w:p>
        </w:tc>
        <w:tc>
          <w:tcPr>
            <w:tcW w:w="1134" w:type="dxa"/>
          </w:tcPr>
          <w:p w:rsidR="000E189B" w:rsidRPr="00254AE3" w:rsidRDefault="000E189B" w:rsidP="00D31540">
            <w:pPr>
              <w:jc w:val="center"/>
              <w:rPr>
                <w:b/>
                <w:bCs/>
                <w:lang w:val="uk-UA"/>
              </w:rPr>
            </w:pPr>
            <w:r w:rsidRPr="00254AE3">
              <w:rPr>
                <w:b/>
                <w:bCs/>
                <w:lang w:val="uk-UA"/>
              </w:rPr>
              <w:t>-</w:t>
            </w:r>
          </w:p>
        </w:tc>
        <w:tc>
          <w:tcPr>
            <w:tcW w:w="1134" w:type="dxa"/>
          </w:tcPr>
          <w:p w:rsidR="000E189B" w:rsidRPr="00254AE3" w:rsidRDefault="000E189B" w:rsidP="00D31540">
            <w:pPr>
              <w:jc w:val="center"/>
              <w:rPr>
                <w:b/>
                <w:bCs/>
                <w:lang w:val="uk-UA"/>
              </w:rPr>
            </w:pPr>
            <w:r w:rsidRPr="00254AE3">
              <w:rPr>
                <w:b/>
                <w:bCs/>
                <w:lang w:val="uk-UA"/>
              </w:rPr>
              <w:t>-</w:t>
            </w:r>
          </w:p>
        </w:tc>
        <w:tc>
          <w:tcPr>
            <w:tcW w:w="1134" w:type="dxa"/>
          </w:tcPr>
          <w:p w:rsidR="000E189B" w:rsidRPr="00254AE3" w:rsidRDefault="000E189B" w:rsidP="00D31540">
            <w:pPr>
              <w:jc w:val="center"/>
              <w:rPr>
                <w:b/>
                <w:bCs/>
                <w:lang w:val="uk-UA"/>
              </w:rPr>
            </w:pPr>
            <w:r w:rsidRPr="00254AE3">
              <w:rPr>
                <w:b/>
                <w:bCs/>
                <w:lang w:val="uk-UA"/>
              </w:rPr>
              <w:t>-</w:t>
            </w:r>
          </w:p>
        </w:tc>
        <w:tc>
          <w:tcPr>
            <w:tcW w:w="1134" w:type="dxa"/>
          </w:tcPr>
          <w:p w:rsidR="000E189B" w:rsidRPr="00254AE3" w:rsidRDefault="000E189B" w:rsidP="00D31540">
            <w:pPr>
              <w:jc w:val="center"/>
              <w:rPr>
                <w:b/>
                <w:bCs/>
                <w:lang w:val="uk-UA"/>
              </w:rPr>
            </w:pPr>
            <w:r w:rsidRPr="00254AE3">
              <w:rPr>
                <w:b/>
                <w:bCs/>
                <w:lang w:val="uk-UA"/>
              </w:rPr>
              <w:t>-</w:t>
            </w:r>
          </w:p>
        </w:tc>
      </w:tr>
    </w:tbl>
    <w:p w:rsidR="000E189B" w:rsidRPr="00254AE3" w:rsidRDefault="000E189B" w:rsidP="000E189B">
      <w:pPr>
        <w:spacing w:line="276" w:lineRule="auto"/>
        <w:jc w:val="both"/>
        <w:rPr>
          <w:lang w:val="uk-UA" w:eastAsia="uk-UA"/>
        </w:rPr>
      </w:pPr>
    </w:p>
    <w:p w:rsidR="00E46722" w:rsidRDefault="00E46722"/>
    <w:sectPr w:rsidR="00E46722" w:rsidSect="000E7882">
      <w:headerReference w:type="default" r:id="rId5"/>
      <w:pgSz w:w="16838" w:h="11906" w:orient="landscape"/>
      <w:pgMar w:top="1134" w:right="567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Pr="000E7882" w:rsidRDefault="00000000">
    <w:pPr>
      <w:pStyle w:val="a3"/>
      <w:jc w:val="center"/>
      <w:rPr>
        <w:sz w:val="28"/>
        <w:szCs w:val="28"/>
      </w:rPr>
    </w:pPr>
    <w:r w:rsidRPr="000E7882">
      <w:rPr>
        <w:sz w:val="28"/>
        <w:szCs w:val="28"/>
      </w:rPr>
      <w:fldChar w:fldCharType="begin"/>
    </w:r>
    <w:r w:rsidRPr="000E7882">
      <w:rPr>
        <w:sz w:val="28"/>
        <w:szCs w:val="28"/>
      </w:rPr>
      <w:instrText>PAGE   \* MERGEFORMAT</w:instrText>
    </w:r>
    <w:r w:rsidRPr="000E7882">
      <w:rPr>
        <w:sz w:val="28"/>
        <w:szCs w:val="28"/>
      </w:rPr>
      <w:fldChar w:fldCharType="separate"/>
    </w:r>
    <w:r w:rsidRPr="00E635D3">
      <w:rPr>
        <w:noProof/>
        <w:sz w:val="28"/>
        <w:szCs w:val="28"/>
        <w:lang w:val="ru-RU"/>
      </w:rPr>
      <w:t>2</w:t>
    </w:r>
    <w:r w:rsidRPr="000E7882">
      <w:rPr>
        <w:sz w:val="28"/>
        <w:szCs w:val="28"/>
      </w:rPr>
      <w:fldChar w:fldCharType="end"/>
    </w:r>
  </w:p>
  <w:p w:rsidR="00000000" w:rsidRDefault="0000000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B67D28"/>
    <w:multiLevelType w:val="hybridMultilevel"/>
    <w:tmpl w:val="5D56012E"/>
    <w:lvl w:ilvl="0" w:tplc="04220013">
      <w:start w:val="1"/>
      <w:numFmt w:val="upperRoman"/>
      <w:lvlText w:val="%1."/>
      <w:lvlJc w:val="righ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0014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89B"/>
    <w:rsid w:val="000E189B"/>
    <w:rsid w:val="003A272B"/>
    <w:rsid w:val="00E46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6E7E843B-3283-904B-A7C5-F26481713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U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189B"/>
    <w:rPr>
      <w:rFonts w:ascii="Times New Roman" w:eastAsia="Times New Roman" w:hAnsi="Times New Roman" w:cs="Times New Roman"/>
      <w:kern w:val="0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E189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0E189B"/>
    <w:rPr>
      <w:rFonts w:ascii="Times New Roman" w:eastAsia="Times New Roman" w:hAnsi="Times New Roman" w:cs="Times New Roman"/>
      <w:kern w:val="0"/>
      <w:lang w:val="x-none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437</Words>
  <Characters>2493</Characters>
  <Application>Microsoft Office Word</Application>
  <DocSecurity>0</DocSecurity>
  <Lines>20</Lines>
  <Paragraphs>5</Paragraphs>
  <ScaleCrop>false</ScaleCrop>
  <Company/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2024-02-13T07:31:00Z</dcterms:created>
  <dcterms:modified xsi:type="dcterms:W3CDTF">2024-02-13T07:36:00Z</dcterms:modified>
</cp:coreProperties>
</file>