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36" w:type="dxa"/>
        <w:tblInd w:w="5495" w:type="dxa"/>
        <w:tblLook w:val="00A0" w:firstRow="1" w:lastRow="0" w:firstColumn="1" w:lastColumn="0" w:noHBand="0" w:noVBand="0"/>
      </w:tblPr>
      <w:tblGrid>
        <w:gridCol w:w="4536"/>
      </w:tblGrid>
      <w:tr w:rsidR="00FC1A0D" w:rsidRPr="0097401A" w:rsidTr="0097401A">
        <w:trPr>
          <w:trHeight w:val="1440"/>
        </w:trPr>
        <w:tc>
          <w:tcPr>
            <w:tcW w:w="4536" w:type="dxa"/>
          </w:tcPr>
          <w:p w:rsidR="00FC1A0D" w:rsidRDefault="005A2CF1" w:rsidP="0097401A">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t>ЗАТВЕРДЖЕНО</w:t>
            </w:r>
          </w:p>
          <w:p w:rsidR="005A2CF1" w:rsidRPr="0097401A" w:rsidRDefault="005A2CF1" w:rsidP="0097401A">
            <w:pPr>
              <w:spacing w:after="0" w:line="240" w:lineRule="auto"/>
              <w:rPr>
                <w:rFonts w:ascii="Times New Roman" w:hAnsi="Times New Roman"/>
                <w:color w:val="000000"/>
                <w:sz w:val="28"/>
                <w:szCs w:val="28"/>
                <w:lang w:eastAsia="en-US"/>
              </w:rPr>
            </w:pPr>
          </w:p>
          <w:p w:rsidR="00FC1A0D" w:rsidRPr="0097401A" w:rsidRDefault="005A2CF1" w:rsidP="0097401A">
            <w:pPr>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t>Р</w:t>
            </w:r>
            <w:r w:rsidR="00FC1A0D" w:rsidRPr="0097401A">
              <w:rPr>
                <w:rFonts w:ascii="Times New Roman" w:hAnsi="Times New Roman"/>
                <w:color w:val="000000"/>
                <w:sz w:val="28"/>
                <w:szCs w:val="28"/>
                <w:lang w:eastAsia="en-US"/>
              </w:rPr>
              <w:t>озпорядження голови районної державної адміністрації -начальника  районної військової адміністрації</w:t>
            </w:r>
          </w:p>
          <w:p w:rsidR="00FC1A0D" w:rsidRPr="0097401A" w:rsidRDefault="006B62D2" w:rsidP="00224E20">
            <w:pPr>
              <w:spacing w:after="0" w:line="240" w:lineRule="auto"/>
              <w:rPr>
                <w:color w:val="000000"/>
                <w:sz w:val="28"/>
                <w:szCs w:val="28"/>
                <w:lang w:eastAsia="en-US"/>
              </w:rPr>
            </w:pPr>
            <w:r>
              <w:rPr>
                <w:rFonts w:ascii="Times New Roman" w:hAnsi="Times New Roman"/>
                <w:color w:val="000000"/>
                <w:sz w:val="28"/>
                <w:szCs w:val="28"/>
                <w:lang w:eastAsia="en-US"/>
              </w:rPr>
              <w:t>20.07.2023</w:t>
            </w:r>
            <w:r w:rsidR="00FC1A0D" w:rsidRPr="0097401A">
              <w:rPr>
                <w:rFonts w:ascii="Times New Roman" w:hAnsi="Times New Roman"/>
                <w:color w:val="000000"/>
                <w:sz w:val="28"/>
                <w:szCs w:val="28"/>
                <w:lang w:eastAsia="en-US"/>
              </w:rPr>
              <w:t xml:space="preserve"> </w:t>
            </w:r>
            <w:r w:rsidR="00FC1A0D" w:rsidRPr="0097401A">
              <w:rPr>
                <w:rFonts w:ascii="Times New Roman" w:hAnsi="Times New Roman"/>
                <w:sz w:val="28"/>
                <w:szCs w:val="28"/>
                <w:lang w:eastAsia="en-US"/>
              </w:rPr>
              <w:t>№</w:t>
            </w:r>
            <w:r>
              <w:rPr>
                <w:rFonts w:ascii="Times New Roman" w:hAnsi="Times New Roman"/>
                <w:sz w:val="28"/>
                <w:szCs w:val="28"/>
                <w:lang w:eastAsia="en-US"/>
              </w:rPr>
              <w:t xml:space="preserve"> 133</w:t>
            </w:r>
            <w:bookmarkStart w:id="0" w:name="_GoBack"/>
            <w:bookmarkEnd w:id="0"/>
            <w:r w:rsidR="00FC1A0D" w:rsidRPr="0097401A">
              <w:rPr>
                <w:rFonts w:ascii="Times New Roman" w:hAnsi="Times New Roman"/>
                <w:sz w:val="28"/>
                <w:szCs w:val="28"/>
                <w:lang w:eastAsia="en-US"/>
              </w:rPr>
              <w:t xml:space="preserve"> </w:t>
            </w:r>
          </w:p>
        </w:tc>
      </w:tr>
    </w:tbl>
    <w:p w:rsidR="00FC1A0D" w:rsidRPr="00A71C3F" w:rsidRDefault="00FC1A0D" w:rsidP="00D7133B">
      <w:pPr>
        <w:pStyle w:val="a3"/>
        <w:spacing w:line="240" w:lineRule="auto"/>
      </w:pPr>
    </w:p>
    <w:p w:rsidR="00FC1A0D" w:rsidRPr="005A2CF1" w:rsidRDefault="00FC1A0D" w:rsidP="00D7133B">
      <w:pPr>
        <w:pStyle w:val="a3"/>
        <w:spacing w:line="240" w:lineRule="auto"/>
        <w:rPr>
          <w:sz w:val="16"/>
          <w:szCs w:val="16"/>
        </w:rPr>
      </w:pPr>
    </w:p>
    <w:p w:rsidR="00FC1A0D" w:rsidRPr="00555BB9" w:rsidRDefault="00E26423" w:rsidP="00E26423">
      <w:pPr>
        <w:pStyle w:val="a3"/>
        <w:spacing w:line="240" w:lineRule="auto"/>
        <w:jc w:val="center"/>
      </w:pPr>
      <w:r w:rsidRPr="00555BB9">
        <w:t xml:space="preserve">ПЛАН ЗАХОДІВ </w:t>
      </w:r>
    </w:p>
    <w:p w:rsidR="00E26423" w:rsidRPr="00555BB9" w:rsidRDefault="00E26423" w:rsidP="00E26423">
      <w:pPr>
        <w:pStyle w:val="a3"/>
        <w:spacing w:line="240" w:lineRule="auto"/>
        <w:jc w:val="center"/>
      </w:pPr>
      <w:r w:rsidRPr="00555BB9">
        <w:t xml:space="preserve">з підготовки об’єктів житлово-комунального господарства та паливно-енергетичного комплексу </w:t>
      </w:r>
      <w:r w:rsidR="006429A4">
        <w:t xml:space="preserve">Рівненського </w:t>
      </w:r>
      <w:r w:rsidRPr="00555BB9">
        <w:t>району до осінньо-зимового періоду 2023/24 та його проходження</w:t>
      </w:r>
    </w:p>
    <w:p w:rsidR="00E26423" w:rsidRPr="005A2CF1" w:rsidRDefault="00E26423" w:rsidP="00D7133B">
      <w:pPr>
        <w:pStyle w:val="a3"/>
        <w:spacing w:line="240" w:lineRule="auto"/>
        <w:rPr>
          <w:sz w:val="16"/>
          <w:szCs w:val="1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4608"/>
        <w:gridCol w:w="1417"/>
        <w:gridCol w:w="3402"/>
      </w:tblGrid>
      <w:tr w:rsidR="00992221" w:rsidRPr="005A2CF1" w:rsidTr="00F20F40">
        <w:tc>
          <w:tcPr>
            <w:tcW w:w="496" w:type="dxa"/>
            <w:shd w:val="clear" w:color="auto" w:fill="auto"/>
            <w:vAlign w:val="center"/>
          </w:tcPr>
          <w:p w:rsidR="00A53561" w:rsidRPr="005A2CF1" w:rsidRDefault="00A53561" w:rsidP="00992221">
            <w:pPr>
              <w:pStyle w:val="a3"/>
              <w:spacing w:line="240" w:lineRule="auto"/>
              <w:jc w:val="center"/>
              <w:rPr>
                <w:sz w:val="24"/>
                <w:szCs w:val="24"/>
              </w:rPr>
            </w:pPr>
            <w:r w:rsidRPr="005A2CF1">
              <w:rPr>
                <w:sz w:val="24"/>
                <w:szCs w:val="24"/>
              </w:rPr>
              <w:t>№</w:t>
            </w:r>
          </w:p>
        </w:tc>
        <w:tc>
          <w:tcPr>
            <w:tcW w:w="4608" w:type="dxa"/>
            <w:shd w:val="clear" w:color="auto" w:fill="auto"/>
            <w:vAlign w:val="center"/>
          </w:tcPr>
          <w:p w:rsidR="00A53561" w:rsidRPr="005A2CF1" w:rsidRDefault="00A53561" w:rsidP="00992221">
            <w:pPr>
              <w:pStyle w:val="a3"/>
              <w:spacing w:line="240" w:lineRule="auto"/>
              <w:jc w:val="center"/>
              <w:rPr>
                <w:sz w:val="24"/>
                <w:szCs w:val="24"/>
              </w:rPr>
            </w:pPr>
            <w:r w:rsidRPr="005A2CF1">
              <w:rPr>
                <w:sz w:val="24"/>
                <w:szCs w:val="24"/>
              </w:rPr>
              <w:t>Найменування заходів</w:t>
            </w:r>
          </w:p>
        </w:tc>
        <w:tc>
          <w:tcPr>
            <w:tcW w:w="1417" w:type="dxa"/>
            <w:shd w:val="clear" w:color="auto" w:fill="auto"/>
            <w:vAlign w:val="center"/>
          </w:tcPr>
          <w:p w:rsidR="00A53561" w:rsidRPr="005A2CF1" w:rsidRDefault="00A53561" w:rsidP="00992221">
            <w:pPr>
              <w:pStyle w:val="a3"/>
              <w:spacing w:line="240" w:lineRule="auto"/>
              <w:jc w:val="center"/>
              <w:rPr>
                <w:sz w:val="24"/>
                <w:szCs w:val="24"/>
              </w:rPr>
            </w:pPr>
            <w:r w:rsidRPr="005A2CF1">
              <w:rPr>
                <w:sz w:val="24"/>
                <w:szCs w:val="24"/>
              </w:rPr>
              <w:t>Строк виконання</w:t>
            </w:r>
          </w:p>
        </w:tc>
        <w:tc>
          <w:tcPr>
            <w:tcW w:w="3402" w:type="dxa"/>
            <w:shd w:val="clear" w:color="auto" w:fill="auto"/>
            <w:vAlign w:val="center"/>
          </w:tcPr>
          <w:p w:rsidR="00A53561" w:rsidRPr="005A2CF1" w:rsidRDefault="00A53561" w:rsidP="00992221">
            <w:pPr>
              <w:pStyle w:val="a3"/>
              <w:spacing w:line="240" w:lineRule="auto"/>
              <w:jc w:val="center"/>
              <w:rPr>
                <w:sz w:val="24"/>
                <w:szCs w:val="24"/>
              </w:rPr>
            </w:pPr>
            <w:r w:rsidRPr="005A2CF1">
              <w:rPr>
                <w:sz w:val="24"/>
                <w:szCs w:val="24"/>
              </w:rPr>
              <w:t>Відповідальні за виконання</w:t>
            </w:r>
          </w:p>
        </w:tc>
      </w:tr>
      <w:tr w:rsidR="00386697" w:rsidRPr="005A2CF1" w:rsidTr="00F20F40">
        <w:tc>
          <w:tcPr>
            <w:tcW w:w="496" w:type="dxa"/>
            <w:shd w:val="clear" w:color="auto" w:fill="auto"/>
          </w:tcPr>
          <w:p w:rsidR="00386697" w:rsidRPr="005A2CF1" w:rsidRDefault="00386697" w:rsidP="00C04535">
            <w:pPr>
              <w:pStyle w:val="a3"/>
              <w:spacing w:line="238" w:lineRule="auto"/>
              <w:rPr>
                <w:sz w:val="24"/>
                <w:szCs w:val="24"/>
              </w:rPr>
            </w:pPr>
            <w:r w:rsidRPr="005A2CF1">
              <w:rPr>
                <w:sz w:val="24"/>
                <w:szCs w:val="24"/>
              </w:rPr>
              <w:t>1</w:t>
            </w:r>
          </w:p>
        </w:tc>
        <w:tc>
          <w:tcPr>
            <w:tcW w:w="4608" w:type="dxa"/>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здійснення моніторингу та контролю за підготовкою, своєчасним початком та станом проходження опалювального сезону суб’єктами господарювання, які провадять діяльність з виробництва, транспортування, постачання теплової енергії, та суб’єктами господарюв</w:t>
            </w:r>
            <w:r w:rsidR="005A2CF1">
              <w:rPr>
                <w:sz w:val="24"/>
                <w:szCs w:val="24"/>
              </w:rPr>
              <w:t>ання соціальної сфери, що отриму</w:t>
            </w:r>
            <w:r w:rsidRPr="005A2CF1">
              <w:rPr>
                <w:sz w:val="24"/>
                <w:szCs w:val="24"/>
              </w:rPr>
              <w:t>ють теплову енергію від систем централізованого теплопостачання, у частині виконання планів організаційно-технічних заходів з підготовки теплових господарств, дотримання належного технічного стану теплових, тепловикористальних установок та мереж, організацій їх експлуатації, проведення гідравлічних випробувань теплових мереж на щільність і міцність, промивання та випробування енергообладнання котелень, теплових пунктів у визначені строки, дотримання порядку повідомлення про технологічні порушення та порядку розслідування технологічних порушень</w:t>
            </w:r>
          </w:p>
        </w:tc>
        <w:tc>
          <w:tcPr>
            <w:tcW w:w="1417" w:type="dxa"/>
            <w:shd w:val="clear" w:color="auto" w:fill="auto"/>
          </w:tcPr>
          <w:p w:rsidR="00386697" w:rsidRPr="005A2CF1" w:rsidRDefault="00386697" w:rsidP="00CE57F3">
            <w:pPr>
              <w:pStyle w:val="a3"/>
              <w:spacing w:line="238" w:lineRule="auto"/>
              <w:jc w:val="center"/>
              <w:rPr>
                <w:sz w:val="24"/>
                <w:szCs w:val="24"/>
              </w:rPr>
            </w:pPr>
            <w:r w:rsidRPr="005A2CF1">
              <w:rPr>
                <w:sz w:val="24"/>
                <w:szCs w:val="24"/>
              </w:rPr>
              <w:t>До завершення осінньо-зимового періоду 2023/24</w:t>
            </w:r>
          </w:p>
        </w:tc>
        <w:tc>
          <w:tcPr>
            <w:tcW w:w="3402" w:type="dxa"/>
            <w:shd w:val="clear" w:color="auto" w:fill="auto"/>
          </w:tcPr>
          <w:p w:rsidR="00386697" w:rsidRPr="005A2CF1" w:rsidRDefault="00386697" w:rsidP="005A2CF1">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виконавчі комітети </w:t>
            </w:r>
            <w:r w:rsidR="005A2CF1" w:rsidRPr="005A2CF1">
              <w:rPr>
                <w:sz w:val="24"/>
                <w:szCs w:val="24"/>
              </w:rPr>
              <w:t xml:space="preserve">сільських, </w:t>
            </w:r>
            <w:r w:rsidRPr="005A2CF1">
              <w:rPr>
                <w:sz w:val="24"/>
                <w:szCs w:val="24"/>
              </w:rPr>
              <w:t xml:space="preserve">селищних та </w:t>
            </w:r>
            <w:r w:rsidR="005A2CF1" w:rsidRPr="005A2CF1">
              <w:rPr>
                <w:sz w:val="24"/>
                <w:szCs w:val="24"/>
              </w:rPr>
              <w:t xml:space="preserve">міських </w:t>
            </w:r>
            <w:r w:rsidRPr="005A2CF1">
              <w:rPr>
                <w:sz w:val="24"/>
                <w:szCs w:val="24"/>
              </w:rPr>
              <w:t xml:space="preserve">рад </w:t>
            </w:r>
          </w:p>
        </w:tc>
      </w:tr>
      <w:tr w:rsidR="00386697" w:rsidRPr="005A2CF1" w:rsidTr="00F20F40">
        <w:tc>
          <w:tcPr>
            <w:tcW w:w="496" w:type="dxa"/>
            <w:shd w:val="clear" w:color="auto" w:fill="auto"/>
          </w:tcPr>
          <w:p w:rsidR="00386697" w:rsidRPr="005A2CF1" w:rsidRDefault="00386697" w:rsidP="00C04535">
            <w:pPr>
              <w:pStyle w:val="a3"/>
              <w:spacing w:line="238" w:lineRule="auto"/>
              <w:rPr>
                <w:sz w:val="24"/>
                <w:szCs w:val="24"/>
              </w:rPr>
            </w:pPr>
            <w:r w:rsidRPr="005A2CF1">
              <w:rPr>
                <w:sz w:val="24"/>
                <w:szCs w:val="24"/>
              </w:rPr>
              <w:t>2</w:t>
            </w:r>
          </w:p>
        </w:tc>
        <w:tc>
          <w:tcPr>
            <w:tcW w:w="4608" w:type="dxa"/>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здійснення контролю за станом безпеки енергопостачання соціально важливих об’єктів, які визначені райдержадміністрацією як пріоритетні, зокрема</w:t>
            </w:r>
            <w:r w:rsidR="005A2CF1">
              <w:rPr>
                <w:sz w:val="24"/>
                <w:szCs w:val="24"/>
              </w:rPr>
              <w:t>,</w:t>
            </w:r>
            <w:r w:rsidRPr="005A2CF1">
              <w:rPr>
                <w:sz w:val="24"/>
                <w:szCs w:val="24"/>
              </w:rPr>
              <w:t xml:space="preserve"> в частині стану роботи пристроїв автоматичного введення резерву, резервних автономних джерел живлення, технічного стану та організації експлуатації теплових господарств, і їх готовності до роботи у разі виникнення позаштатних ситуацій  </w:t>
            </w:r>
          </w:p>
        </w:tc>
        <w:tc>
          <w:tcPr>
            <w:tcW w:w="1417" w:type="dxa"/>
            <w:shd w:val="clear" w:color="auto" w:fill="auto"/>
          </w:tcPr>
          <w:p w:rsidR="00386697" w:rsidRPr="005A2CF1" w:rsidRDefault="00386697" w:rsidP="00CE57F3">
            <w:pPr>
              <w:pStyle w:val="a3"/>
              <w:spacing w:line="238" w:lineRule="auto"/>
              <w:jc w:val="center"/>
              <w:rPr>
                <w:sz w:val="24"/>
                <w:szCs w:val="24"/>
              </w:rPr>
            </w:pPr>
            <w:r w:rsidRPr="005A2CF1">
              <w:rPr>
                <w:sz w:val="24"/>
                <w:szCs w:val="24"/>
              </w:rPr>
              <w:t>До завершення осінньо-зимового періоду 2023/24</w:t>
            </w:r>
          </w:p>
        </w:tc>
        <w:tc>
          <w:tcPr>
            <w:tcW w:w="3402" w:type="dxa"/>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c>
          <w:tcPr>
            <w:tcW w:w="496" w:type="dxa"/>
            <w:shd w:val="clear" w:color="auto" w:fill="auto"/>
          </w:tcPr>
          <w:p w:rsidR="00386697" w:rsidRPr="005A2CF1" w:rsidRDefault="00386697" w:rsidP="00C04535">
            <w:pPr>
              <w:pStyle w:val="a3"/>
              <w:spacing w:line="238" w:lineRule="auto"/>
              <w:rPr>
                <w:sz w:val="24"/>
                <w:szCs w:val="24"/>
              </w:rPr>
            </w:pPr>
            <w:r w:rsidRPr="005A2CF1">
              <w:rPr>
                <w:sz w:val="24"/>
                <w:szCs w:val="24"/>
              </w:rPr>
              <w:lastRenderedPageBreak/>
              <w:t>3</w:t>
            </w:r>
          </w:p>
        </w:tc>
        <w:tc>
          <w:tcPr>
            <w:tcW w:w="4608" w:type="dxa"/>
            <w:shd w:val="clear" w:color="auto" w:fill="auto"/>
          </w:tcPr>
          <w:p w:rsidR="00386697" w:rsidRPr="005A2CF1" w:rsidRDefault="00386697" w:rsidP="005A2CF1">
            <w:pPr>
              <w:pStyle w:val="a3"/>
              <w:spacing w:line="238" w:lineRule="auto"/>
              <w:rPr>
                <w:sz w:val="24"/>
                <w:szCs w:val="24"/>
              </w:rPr>
            </w:pPr>
            <w:r w:rsidRPr="005A2CF1">
              <w:rPr>
                <w:sz w:val="24"/>
                <w:szCs w:val="24"/>
              </w:rPr>
              <w:t>Забезпечити здійснення моніторингу суб’єктів господарювання, які провадять діяльність з виробництва, транспортування, постачання теплової енергії, в частині готовності до роботи об’єктів у сфері теплопостачання у разі виникнення позаштатних ситуацій</w:t>
            </w:r>
          </w:p>
        </w:tc>
        <w:tc>
          <w:tcPr>
            <w:tcW w:w="1417" w:type="dxa"/>
            <w:shd w:val="clear" w:color="auto" w:fill="auto"/>
          </w:tcPr>
          <w:p w:rsidR="00386697" w:rsidRPr="005A2CF1" w:rsidRDefault="00386697" w:rsidP="00CE57F3">
            <w:pPr>
              <w:pStyle w:val="a3"/>
              <w:spacing w:line="238" w:lineRule="auto"/>
              <w:ind w:left="-108" w:right="-108"/>
              <w:jc w:val="center"/>
              <w:rPr>
                <w:sz w:val="24"/>
                <w:szCs w:val="24"/>
              </w:rPr>
            </w:pPr>
            <w:r w:rsidRPr="005A2CF1">
              <w:rPr>
                <w:sz w:val="24"/>
                <w:szCs w:val="24"/>
              </w:rPr>
              <w:t>До               01 листопада 2023 року</w:t>
            </w:r>
          </w:p>
        </w:tc>
        <w:tc>
          <w:tcPr>
            <w:tcW w:w="3402" w:type="dxa"/>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c>
          <w:tcPr>
            <w:tcW w:w="496" w:type="dxa"/>
            <w:shd w:val="clear" w:color="auto" w:fill="auto"/>
          </w:tcPr>
          <w:p w:rsidR="00386697" w:rsidRPr="005A2CF1" w:rsidRDefault="00386697" w:rsidP="00C04535">
            <w:pPr>
              <w:pStyle w:val="a3"/>
              <w:spacing w:line="238" w:lineRule="auto"/>
              <w:rPr>
                <w:sz w:val="24"/>
                <w:szCs w:val="24"/>
              </w:rPr>
            </w:pPr>
            <w:r w:rsidRPr="005A2CF1">
              <w:rPr>
                <w:sz w:val="24"/>
                <w:szCs w:val="24"/>
              </w:rPr>
              <w:t>4</w:t>
            </w:r>
          </w:p>
        </w:tc>
        <w:tc>
          <w:tcPr>
            <w:tcW w:w="4608" w:type="dxa"/>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участь представників Держенергонагляду у роботі комісій з перевірки стану готовності теплових господарств суб’єктів господарювання, які провадять діяльність з виробництва транспортування, постачання теплової енергії, та суб’єктів господарювання соціальної сфери, що отримують теплову енергію від систем централізованого теплопостачання, до роботи в опалювальний період 2023/24 та проведення оцінки готовності теплових господарств до роботи в опалювальний період 2023/24</w:t>
            </w:r>
          </w:p>
        </w:tc>
        <w:tc>
          <w:tcPr>
            <w:tcW w:w="1417" w:type="dxa"/>
            <w:shd w:val="clear" w:color="auto" w:fill="auto"/>
          </w:tcPr>
          <w:p w:rsidR="00386697" w:rsidRPr="005A2CF1" w:rsidRDefault="00386697" w:rsidP="00CE57F3">
            <w:pPr>
              <w:pStyle w:val="a3"/>
              <w:spacing w:line="238" w:lineRule="auto"/>
              <w:ind w:left="-108" w:right="-108"/>
              <w:jc w:val="center"/>
              <w:rPr>
                <w:sz w:val="24"/>
                <w:szCs w:val="24"/>
              </w:rPr>
            </w:pPr>
            <w:r w:rsidRPr="005A2CF1">
              <w:rPr>
                <w:sz w:val="24"/>
                <w:szCs w:val="24"/>
              </w:rPr>
              <w:t>До               01 листопада 2023 року</w:t>
            </w:r>
          </w:p>
        </w:tc>
        <w:tc>
          <w:tcPr>
            <w:tcW w:w="3402" w:type="dxa"/>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95"/>
        </w:trPr>
        <w:tc>
          <w:tcPr>
            <w:tcW w:w="496" w:type="dxa"/>
            <w:tcBorders>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5</w:t>
            </w:r>
          </w:p>
        </w:tc>
        <w:tc>
          <w:tcPr>
            <w:tcW w:w="4608" w:type="dxa"/>
            <w:tcBorders>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проведення робіт на зруйнованих/пошкоджених об’єктах теплопостачання і водопровідно-каналізаційного господарства та теплових і водопровідних мережах відповідно до затверджених планів заходів</w:t>
            </w:r>
          </w:p>
        </w:tc>
        <w:tc>
          <w:tcPr>
            <w:tcW w:w="1417" w:type="dxa"/>
            <w:tcBorders>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Згідно із затвердже-ними планами заходів</w:t>
            </w:r>
          </w:p>
        </w:tc>
        <w:tc>
          <w:tcPr>
            <w:tcW w:w="3402" w:type="dxa"/>
            <w:tcBorders>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225"/>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6</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виконання планових робіт із проведення перевірки димових та вентиляційних каналів, щільності інженерних вводів у багатоквартирних будинках, а також забезпечення технічного стану сигналізаторів загазованості підвальних приміщень житлового фонду</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 xml:space="preserve">До </w:t>
            </w:r>
          </w:p>
          <w:p w:rsidR="00386697" w:rsidRPr="005A2CF1" w:rsidRDefault="00386697" w:rsidP="00CE57F3">
            <w:pPr>
              <w:pStyle w:val="a3"/>
              <w:spacing w:line="238" w:lineRule="auto"/>
              <w:jc w:val="center"/>
              <w:rPr>
                <w:sz w:val="24"/>
                <w:szCs w:val="24"/>
              </w:rPr>
            </w:pPr>
            <w:r w:rsidRPr="005A2CF1">
              <w:rPr>
                <w:sz w:val="24"/>
                <w:szCs w:val="24"/>
              </w:rPr>
              <w:t>25 вересня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Виконавчі комітети міських, селищних та сільських рад </w:t>
            </w:r>
          </w:p>
        </w:tc>
      </w:tr>
      <w:tr w:rsidR="00386697" w:rsidRPr="005A2CF1" w:rsidTr="00F20F40">
        <w:trPr>
          <w:trHeight w:val="33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7</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Забезпечити створення відповідної логістики для постачання пально-мастильних матеріалів для потреб підприємств теплопостачання </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До 01 жовтня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Виконавчі комітети міських, селищних та сільських рад</w:t>
            </w:r>
          </w:p>
        </w:tc>
      </w:tr>
      <w:tr w:rsidR="00386697" w:rsidRPr="005A2CF1" w:rsidTr="00F20F40">
        <w:trPr>
          <w:trHeight w:val="27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8</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Забезпечити прогнозування ситуацій відносно пошкоджень, зупинок, наявності або обмеження діяльності об’єктів енергетичної інфраструктури (державного та приватного сектору) та об’єктів теплового господарства внаслідок бойових дій та впливу на стабільну роботу сфери теплопостачання </w:t>
            </w:r>
          </w:p>
          <w:p w:rsidR="00386697" w:rsidRPr="005A2CF1" w:rsidRDefault="00386697" w:rsidP="00CE57F3">
            <w:pPr>
              <w:pStyle w:val="a3"/>
              <w:spacing w:line="238" w:lineRule="auto"/>
              <w:rPr>
                <w:sz w:val="24"/>
                <w:szCs w:val="24"/>
              </w:rPr>
            </w:pPr>
          </w:p>
          <w:p w:rsidR="00386697" w:rsidRPr="005A2CF1" w:rsidRDefault="00386697" w:rsidP="00CE57F3">
            <w:pPr>
              <w:pStyle w:val="a3"/>
              <w:spacing w:line="238" w:lineRule="auto"/>
              <w:rPr>
                <w:sz w:val="24"/>
                <w:szCs w:val="24"/>
              </w:rPr>
            </w:pP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Постійно</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38"/>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lastRenderedPageBreak/>
              <w:t>9</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співпрацю з міжнародними фінансовими інституціями з метою отримання грантів, кредитів на пільгових умовах, технічної допомоги для відновлення уражених об’єктів теплопостачання</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Постійно</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фінансове управління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95"/>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10</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об’єкти соціальної сфери (навчальні заклади, заклади охорони здоров’я) резервними та автономними джерелами теплопостачання, енергопостачання</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 xml:space="preserve">До </w:t>
            </w:r>
          </w:p>
          <w:p w:rsidR="00386697" w:rsidRPr="005A2CF1" w:rsidRDefault="00386697" w:rsidP="00CE57F3">
            <w:pPr>
              <w:pStyle w:val="a3"/>
              <w:spacing w:line="238" w:lineRule="auto"/>
              <w:jc w:val="center"/>
              <w:rPr>
                <w:sz w:val="24"/>
                <w:szCs w:val="24"/>
              </w:rPr>
            </w:pPr>
            <w:r w:rsidRPr="005A2CF1">
              <w:rPr>
                <w:sz w:val="24"/>
                <w:szCs w:val="24"/>
              </w:rPr>
              <w:t>01 жовтня 2023 року</w:t>
            </w:r>
          </w:p>
        </w:tc>
        <w:tc>
          <w:tcPr>
            <w:tcW w:w="3402" w:type="dxa"/>
            <w:tcBorders>
              <w:top w:val="single" w:sz="4" w:space="0" w:color="auto"/>
              <w:bottom w:val="single" w:sz="4" w:space="0" w:color="auto"/>
            </w:tcBorders>
            <w:shd w:val="clear" w:color="auto" w:fill="auto"/>
          </w:tcPr>
          <w:p w:rsidR="00386697" w:rsidRPr="005A2CF1" w:rsidRDefault="005A2CF1" w:rsidP="00CE57F3">
            <w:pPr>
              <w:pStyle w:val="a3"/>
              <w:spacing w:line="238" w:lineRule="auto"/>
              <w:rPr>
                <w:sz w:val="24"/>
                <w:szCs w:val="24"/>
              </w:rPr>
            </w:pPr>
            <w:r w:rsidRPr="005A2CF1">
              <w:rPr>
                <w:sz w:val="24"/>
                <w:szCs w:val="24"/>
              </w:rPr>
              <w:t>Виконавчі комітети сільських, селищних та міських рад</w:t>
            </w:r>
          </w:p>
        </w:tc>
      </w:tr>
      <w:tr w:rsidR="00386697" w:rsidRPr="005A2CF1" w:rsidTr="00F20F40">
        <w:trPr>
          <w:trHeight w:val="12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11</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Забезпечити підготовку спеціалізованої техніки для прибирання снігу та посипання вулично-дорожньої  мережі протиожеледними сумішами і необхідною кількістю посипочних матеріалів</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 xml:space="preserve">До </w:t>
            </w:r>
          </w:p>
          <w:p w:rsidR="00386697" w:rsidRPr="005A2CF1" w:rsidRDefault="00386697" w:rsidP="00CE57F3">
            <w:pPr>
              <w:pStyle w:val="a3"/>
              <w:spacing w:line="238" w:lineRule="auto"/>
              <w:jc w:val="center"/>
              <w:rPr>
                <w:sz w:val="24"/>
                <w:szCs w:val="24"/>
              </w:rPr>
            </w:pPr>
            <w:r w:rsidRPr="005A2CF1">
              <w:rPr>
                <w:sz w:val="24"/>
                <w:szCs w:val="24"/>
              </w:rPr>
              <w:t>01 жовтня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5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12</w:t>
            </w:r>
          </w:p>
        </w:tc>
        <w:tc>
          <w:tcPr>
            <w:tcW w:w="4608" w:type="dxa"/>
            <w:tcBorders>
              <w:top w:val="single" w:sz="4" w:space="0" w:color="auto"/>
              <w:bottom w:val="single" w:sz="4" w:space="0" w:color="auto"/>
            </w:tcBorders>
            <w:shd w:val="clear" w:color="auto" w:fill="auto"/>
          </w:tcPr>
          <w:p w:rsidR="00386697" w:rsidRPr="005A2CF1" w:rsidRDefault="005A2CF1" w:rsidP="00CE57F3">
            <w:pPr>
              <w:pStyle w:val="a3"/>
              <w:spacing w:line="238" w:lineRule="auto"/>
              <w:rPr>
                <w:sz w:val="24"/>
                <w:szCs w:val="24"/>
              </w:rPr>
            </w:pPr>
            <w:r>
              <w:rPr>
                <w:sz w:val="24"/>
                <w:szCs w:val="24"/>
              </w:rPr>
              <w:t>Забезпечити участь у</w:t>
            </w:r>
            <w:r w:rsidR="00386697" w:rsidRPr="005A2CF1">
              <w:rPr>
                <w:sz w:val="24"/>
                <w:szCs w:val="24"/>
              </w:rPr>
              <w:t xml:space="preserve"> роботі утворених регіональних оперативних штабів із забезпечення сталого проходження опалювального сезону 2023/24 року та комісій з перевірки стану готовності теплових господарств суб’єктів господарювання,які проводять діяльність з виробництва, транспортування, постачання теплової енергії, та суб’єктів господарювання соціальної сфери, що отримують теплову енергію від систем централізованого теплопостачання, до роботи в опалювальний період 2023/24 року та проведення оцінки готовності теплових господарств до роботи в опалювальний період 2023/24 року</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jc w:val="center"/>
              <w:rPr>
                <w:sz w:val="24"/>
                <w:szCs w:val="24"/>
              </w:rPr>
            </w:pPr>
            <w:r w:rsidRPr="005A2CF1">
              <w:rPr>
                <w:sz w:val="24"/>
                <w:szCs w:val="24"/>
              </w:rPr>
              <w:t xml:space="preserve">До </w:t>
            </w:r>
          </w:p>
          <w:p w:rsidR="00386697" w:rsidRPr="005A2CF1" w:rsidRDefault="00386697" w:rsidP="00CE57F3">
            <w:pPr>
              <w:pStyle w:val="a3"/>
              <w:spacing w:line="238" w:lineRule="auto"/>
              <w:jc w:val="center"/>
              <w:rPr>
                <w:sz w:val="24"/>
                <w:szCs w:val="24"/>
              </w:rPr>
            </w:pPr>
            <w:r w:rsidRPr="005A2CF1">
              <w:rPr>
                <w:sz w:val="24"/>
                <w:szCs w:val="24"/>
              </w:rPr>
              <w:t>01 жовтня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8"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27"/>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13</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Провести аналіз заборгованості з виплати заробітної плати на підприємствах житлово-комунального господарства, скласти графіки погашення та вжити заходів до погашення заборгованості в повному обсязі</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 xml:space="preserve">До </w:t>
            </w:r>
          </w:p>
          <w:p w:rsidR="00386697" w:rsidRPr="005A2CF1" w:rsidRDefault="00386697" w:rsidP="00CE57F3">
            <w:pPr>
              <w:pStyle w:val="a3"/>
              <w:spacing w:line="235" w:lineRule="auto"/>
              <w:jc w:val="center"/>
              <w:rPr>
                <w:sz w:val="24"/>
                <w:szCs w:val="24"/>
              </w:rPr>
            </w:pPr>
            <w:r w:rsidRPr="005A2CF1">
              <w:rPr>
                <w:sz w:val="24"/>
                <w:szCs w:val="24"/>
              </w:rPr>
              <w:t>01 жовтня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 xml:space="preserve">виконавчі комітети сільських, селищних та міських рад </w:t>
            </w:r>
            <w:r w:rsidRPr="005A2CF1">
              <w:rPr>
                <w:sz w:val="24"/>
                <w:szCs w:val="24"/>
              </w:rPr>
              <w:t xml:space="preserve">спільно з підприємствами житлово-комунального господарства </w:t>
            </w:r>
          </w:p>
        </w:tc>
      </w:tr>
      <w:tr w:rsidR="00386697" w:rsidRPr="005A2CF1" w:rsidTr="00F20F40">
        <w:trPr>
          <w:trHeight w:val="174"/>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14</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Провести аналіз заборгованості населення за отримані житлово-комунальні послуги та вжити заходів щодо їх погашення</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 xml:space="preserve">До </w:t>
            </w:r>
          </w:p>
          <w:p w:rsidR="00386697" w:rsidRPr="005A2CF1" w:rsidRDefault="00386697" w:rsidP="00CE57F3">
            <w:pPr>
              <w:pStyle w:val="a3"/>
              <w:spacing w:line="235" w:lineRule="auto"/>
              <w:jc w:val="center"/>
              <w:rPr>
                <w:sz w:val="24"/>
                <w:szCs w:val="24"/>
              </w:rPr>
            </w:pPr>
            <w:r w:rsidRPr="005A2CF1">
              <w:rPr>
                <w:sz w:val="24"/>
                <w:szCs w:val="24"/>
              </w:rPr>
              <w:t>01 жовтня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Управління економічного та агропромислового розвитку, житлово-комунального господарства, містобудування, архітектури райдержадмініст-</w:t>
            </w:r>
            <w:r w:rsidRPr="005A2CF1">
              <w:rPr>
                <w:sz w:val="24"/>
                <w:szCs w:val="24"/>
              </w:rPr>
              <w:lastRenderedPageBreak/>
              <w:t xml:space="preserve">рації, </w:t>
            </w:r>
            <w:r w:rsidR="005A2CF1" w:rsidRPr="005A2CF1">
              <w:rPr>
                <w:sz w:val="24"/>
                <w:szCs w:val="24"/>
              </w:rPr>
              <w:t>виконавчі комітети сільських, селищних та міських рад</w:t>
            </w:r>
            <w:r w:rsidRPr="005A2CF1">
              <w:rPr>
                <w:sz w:val="24"/>
                <w:szCs w:val="24"/>
              </w:rPr>
              <w:t>, теплопостачальні підприємства та підприємства водопровідно-каналізаційного господарства</w:t>
            </w:r>
          </w:p>
        </w:tc>
      </w:tr>
      <w:tr w:rsidR="00386697" w:rsidRPr="005A2CF1" w:rsidTr="00F20F40">
        <w:trPr>
          <w:trHeight w:val="18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lastRenderedPageBreak/>
              <w:t>15</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Утворити за участю представників підприємств житлово-комунального господарства комісії для проведення оцінки технічного стану теплових пунктів, насосних агрегатів, водопідігрівачів, вузлів обліку теплової енергії, контрольно-вимірювальних пристроїв та автоматики і забезпечити проведення такої перевірки</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 xml:space="preserve">До </w:t>
            </w:r>
          </w:p>
          <w:p w:rsidR="00386697" w:rsidRPr="005A2CF1" w:rsidRDefault="00386697" w:rsidP="00CE57F3">
            <w:pPr>
              <w:pStyle w:val="a3"/>
              <w:spacing w:line="235" w:lineRule="auto"/>
              <w:jc w:val="center"/>
              <w:rPr>
                <w:sz w:val="24"/>
                <w:szCs w:val="24"/>
              </w:rPr>
            </w:pPr>
            <w:r w:rsidRPr="005A2CF1">
              <w:rPr>
                <w:sz w:val="24"/>
                <w:szCs w:val="24"/>
              </w:rPr>
              <w:t>20 вересня 2023 року</w:t>
            </w:r>
          </w:p>
        </w:tc>
        <w:tc>
          <w:tcPr>
            <w:tcW w:w="3402" w:type="dxa"/>
            <w:tcBorders>
              <w:top w:val="single" w:sz="4" w:space="0" w:color="auto"/>
              <w:bottom w:val="single" w:sz="4" w:space="0" w:color="auto"/>
            </w:tcBorders>
            <w:shd w:val="clear" w:color="auto" w:fill="auto"/>
          </w:tcPr>
          <w:p w:rsidR="00386697" w:rsidRPr="005A2CF1" w:rsidRDefault="005A2CF1" w:rsidP="00CE57F3">
            <w:pPr>
              <w:pStyle w:val="a3"/>
              <w:spacing w:line="235" w:lineRule="auto"/>
              <w:rPr>
                <w:sz w:val="24"/>
                <w:szCs w:val="24"/>
              </w:rPr>
            </w:pPr>
            <w:r w:rsidRPr="005A2CF1">
              <w:rPr>
                <w:sz w:val="24"/>
                <w:szCs w:val="24"/>
              </w:rPr>
              <w:t>Виконавчі комітети сільських, селищних та міських рад</w:t>
            </w:r>
          </w:p>
        </w:tc>
      </w:tr>
      <w:tr w:rsidR="00386697" w:rsidRPr="005A2CF1" w:rsidTr="00F20F40">
        <w:trPr>
          <w:trHeight w:val="30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16</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Вжити заходів щодо створення регіональних оперативних штабів із забезпечення сталого проходження опалювального періоду, запобігання аваріям та проведення оперативних відновлювальних робіт на об’єктах життєзабезпечення в осінньо-зимовий період 2023/24 року</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 xml:space="preserve">До </w:t>
            </w:r>
          </w:p>
          <w:p w:rsidR="00386697" w:rsidRPr="005A2CF1" w:rsidRDefault="00386697" w:rsidP="00CE57F3">
            <w:pPr>
              <w:pStyle w:val="a3"/>
              <w:spacing w:line="235" w:lineRule="auto"/>
              <w:jc w:val="center"/>
              <w:rPr>
                <w:sz w:val="24"/>
                <w:szCs w:val="24"/>
              </w:rPr>
            </w:pPr>
            <w:r w:rsidRPr="005A2CF1">
              <w:rPr>
                <w:sz w:val="24"/>
                <w:szCs w:val="24"/>
              </w:rPr>
              <w:t>25 вересня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p>
        </w:tc>
      </w:tr>
      <w:tr w:rsidR="00386697" w:rsidRPr="005A2CF1" w:rsidTr="00F20F40">
        <w:trPr>
          <w:trHeight w:val="180"/>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17</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Вжити заходів щодо проведення перевірки стану газового обладнання у населених пунктах</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 xml:space="preserve">До </w:t>
            </w:r>
          </w:p>
          <w:p w:rsidR="00386697" w:rsidRPr="005A2CF1" w:rsidRDefault="00386697" w:rsidP="00CE57F3">
            <w:pPr>
              <w:pStyle w:val="a3"/>
              <w:spacing w:line="235" w:lineRule="auto"/>
              <w:jc w:val="center"/>
              <w:rPr>
                <w:sz w:val="24"/>
                <w:szCs w:val="24"/>
              </w:rPr>
            </w:pPr>
            <w:r w:rsidRPr="005A2CF1">
              <w:rPr>
                <w:sz w:val="24"/>
                <w:szCs w:val="24"/>
              </w:rPr>
              <w:t>25 вересня 2023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r w:rsidRPr="005A2CF1">
              <w:rPr>
                <w:sz w:val="24"/>
                <w:szCs w:val="24"/>
              </w:rPr>
              <w:t xml:space="preserve"> АТ «Рівнегаз» </w:t>
            </w:r>
          </w:p>
        </w:tc>
      </w:tr>
      <w:tr w:rsidR="00386697" w:rsidRPr="005A2CF1" w:rsidTr="00F20F40">
        <w:trPr>
          <w:trHeight w:val="263"/>
        </w:trPr>
        <w:tc>
          <w:tcPr>
            <w:tcW w:w="496" w:type="dxa"/>
            <w:tcBorders>
              <w:top w:val="single" w:sz="4" w:space="0" w:color="auto"/>
              <w:bottom w:val="single" w:sz="4" w:space="0" w:color="auto"/>
            </w:tcBorders>
            <w:shd w:val="clear" w:color="auto" w:fill="auto"/>
          </w:tcPr>
          <w:p w:rsidR="00386697" w:rsidRPr="005A2CF1" w:rsidRDefault="00386697" w:rsidP="00C04535">
            <w:pPr>
              <w:pStyle w:val="a3"/>
              <w:spacing w:line="238" w:lineRule="auto"/>
              <w:rPr>
                <w:sz w:val="24"/>
                <w:szCs w:val="24"/>
              </w:rPr>
            </w:pPr>
            <w:r w:rsidRPr="005A2CF1">
              <w:rPr>
                <w:sz w:val="24"/>
                <w:szCs w:val="24"/>
              </w:rPr>
              <w:t>18</w:t>
            </w:r>
          </w:p>
        </w:tc>
        <w:tc>
          <w:tcPr>
            <w:tcW w:w="4608"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Вжити заходів щодо погашення заборгованості споживачів за спожиту теплову енергію</w:t>
            </w:r>
          </w:p>
        </w:tc>
        <w:tc>
          <w:tcPr>
            <w:tcW w:w="1417"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jc w:val="center"/>
              <w:rPr>
                <w:sz w:val="24"/>
                <w:szCs w:val="24"/>
              </w:rPr>
            </w:pPr>
            <w:r w:rsidRPr="005A2CF1">
              <w:rPr>
                <w:sz w:val="24"/>
                <w:szCs w:val="24"/>
              </w:rPr>
              <w:t>До завершення осінньо-зимового періоду 2023/24 року</w:t>
            </w:r>
          </w:p>
        </w:tc>
        <w:tc>
          <w:tcPr>
            <w:tcW w:w="3402" w:type="dxa"/>
            <w:tcBorders>
              <w:top w:val="single" w:sz="4" w:space="0" w:color="auto"/>
              <w:bottom w:val="single" w:sz="4" w:space="0" w:color="auto"/>
            </w:tcBorders>
            <w:shd w:val="clear" w:color="auto" w:fill="auto"/>
          </w:tcPr>
          <w:p w:rsidR="00386697" w:rsidRPr="005A2CF1" w:rsidRDefault="00386697" w:rsidP="00CE57F3">
            <w:pPr>
              <w:pStyle w:val="a3"/>
              <w:spacing w:line="235" w:lineRule="auto"/>
              <w:rPr>
                <w:sz w:val="24"/>
                <w:szCs w:val="24"/>
              </w:rPr>
            </w:pPr>
            <w:r w:rsidRPr="005A2CF1">
              <w:rPr>
                <w:sz w:val="24"/>
                <w:szCs w:val="24"/>
              </w:rPr>
              <w:t xml:space="preserve">Управління економічного та агропромислового розвитку, житлово-комунального господарства, містобудування, архітектури райдержадмініст-рації, </w:t>
            </w:r>
            <w:r w:rsidR="005A2CF1" w:rsidRPr="005A2CF1">
              <w:rPr>
                <w:sz w:val="24"/>
                <w:szCs w:val="24"/>
              </w:rPr>
              <w:t>виконавчі комітети сільських, селищних та міських рад</w:t>
            </w:r>
            <w:r w:rsidRPr="005A2CF1">
              <w:rPr>
                <w:sz w:val="24"/>
                <w:szCs w:val="24"/>
              </w:rPr>
              <w:t>, теплопостачальні підприємства району</w:t>
            </w:r>
          </w:p>
        </w:tc>
      </w:tr>
    </w:tbl>
    <w:p w:rsidR="00E26423" w:rsidRPr="00CE57F3" w:rsidRDefault="00E26423" w:rsidP="00D7133B">
      <w:pPr>
        <w:pStyle w:val="a3"/>
        <w:spacing w:line="240" w:lineRule="auto"/>
        <w:rPr>
          <w:sz w:val="16"/>
          <w:szCs w:val="16"/>
        </w:rPr>
      </w:pPr>
    </w:p>
    <w:p w:rsidR="00F20F40" w:rsidRDefault="00F20F40" w:rsidP="00605EB8">
      <w:pPr>
        <w:spacing w:after="0" w:line="228" w:lineRule="auto"/>
        <w:jc w:val="both"/>
        <w:rPr>
          <w:rFonts w:ascii="Times New Roman" w:hAnsi="Times New Roman"/>
          <w:sz w:val="28"/>
          <w:szCs w:val="28"/>
        </w:rPr>
      </w:pPr>
    </w:p>
    <w:p w:rsidR="00605EB8" w:rsidRPr="00605EB8" w:rsidRDefault="00605EB8" w:rsidP="00605EB8">
      <w:pPr>
        <w:spacing w:after="0" w:line="228" w:lineRule="auto"/>
        <w:jc w:val="both"/>
        <w:rPr>
          <w:rFonts w:ascii="Times New Roman" w:hAnsi="Times New Roman"/>
          <w:sz w:val="28"/>
          <w:szCs w:val="28"/>
        </w:rPr>
      </w:pPr>
      <w:r w:rsidRPr="00605EB8">
        <w:rPr>
          <w:rFonts w:ascii="Times New Roman" w:hAnsi="Times New Roman"/>
          <w:sz w:val="28"/>
          <w:szCs w:val="28"/>
        </w:rPr>
        <w:t xml:space="preserve">Начальник управління економічного </w:t>
      </w:r>
    </w:p>
    <w:p w:rsidR="00605EB8" w:rsidRPr="00605EB8" w:rsidRDefault="00605EB8" w:rsidP="00605EB8">
      <w:pPr>
        <w:spacing w:after="0" w:line="228" w:lineRule="auto"/>
        <w:jc w:val="both"/>
        <w:rPr>
          <w:rFonts w:ascii="Times New Roman" w:hAnsi="Times New Roman"/>
          <w:sz w:val="28"/>
          <w:szCs w:val="28"/>
        </w:rPr>
      </w:pPr>
      <w:r w:rsidRPr="00605EB8">
        <w:rPr>
          <w:rFonts w:ascii="Times New Roman" w:hAnsi="Times New Roman"/>
          <w:sz w:val="28"/>
          <w:szCs w:val="28"/>
        </w:rPr>
        <w:t xml:space="preserve">та агропромислового розвитку, </w:t>
      </w:r>
    </w:p>
    <w:p w:rsidR="00605EB8" w:rsidRPr="00605EB8" w:rsidRDefault="00605EB8" w:rsidP="00605EB8">
      <w:pPr>
        <w:spacing w:after="0" w:line="228" w:lineRule="auto"/>
        <w:jc w:val="both"/>
        <w:rPr>
          <w:rFonts w:ascii="Times New Roman" w:hAnsi="Times New Roman"/>
          <w:sz w:val="28"/>
          <w:szCs w:val="28"/>
        </w:rPr>
      </w:pPr>
      <w:r w:rsidRPr="00605EB8">
        <w:rPr>
          <w:rFonts w:ascii="Times New Roman" w:hAnsi="Times New Roman"/>
          <w:sz w:val="28"/>
          <w:szCs w:val="28"/>
        </w:rPr>
        <w:t xml:space="preserve">житлово-комунального господарства, </w:t>
      </w:r>
    </w:p>
    <w:p w:rsidR="00605EB8" w:rsidRPr="00605EB8" w:rsidRDefault="00605EB8" w:rsidP="00605EB8">
      <w:pPr>
        <w:spacing w:after="0" w:line="228" w:lineRule="auto"/>
        <w:jc w:val="both"/>
        <w:rPr>
          <w:rFonts w:ascii="Times New Roman" w:hAnsi="Times New Roman"/>
          <w:sz w:val="28"/>
          <w:szCs w:val="28"/>
        </w:rPr>
      </w:pPr>
      <w:r w:rsidRPr="00605EB8">
        <w:rPr>
          <w:rFonts w:ascii="Times New Roman" w:hAnsi="Times New Roman"/>
          <w:sz w:val="28"/>
          <w:szCs w:val="28"/>
        </w:rPr>
        <w:t xml:space="preserve">містобудування, архітектури </w:t>
      </w:r>
    </w:p>
    <w:p w:rsidR="00FC1A0D" w:rsidRPr="00605EB8" w:rsidRDefault="00605EB8" w:rsidP="0030276E">
      <w:pPr>
        <w:spacing w:after="0" w:line="228" w:lineRule="auto"/>
        <w:jc w:val="both"/>
      </w:pPr>
      <w:r w:rsidRPr="00605EB8">
        <w:rPr>
          <w:rFonts w:ascii="Times New Roman" w:hAnsi="Times New Roman"/>
          <w:sz w:val="28"/>
          <w:szCs w:val="28"/>
        </w:rPr>
        <w:t>райдержадміністрації</w:t>
      </w:r>
      <w:r w:rsidRPr="00605EB8">
        <w:rPr>
          <w:rFonts w:ascii="Times New Roman" w:hAnsi="Times New Roman"/>
          <w:sz w:val="28"/>
          <w:szCs w:val="28"/>
        </w:rPr>
        <w:tab/>
      </w:r>
      <w:r w:rsidRPr="00605EB8">
        <w:rPr>
          <w:rFonts w:ascii="Times New Roman" w:hAnsi="Times New Roman"/>
          <w:sz w:val="28"/>
          <w:szCs w:val="28"/>
        </w:rPr>
        <w:tab/>
        <w:t>                                          Оксана СИТНИЦЬКА</w:t>
      </w:r>
    </w:p>
    <w:sectPr w:rsidR="00FC1A0D" w:rsidRPr="00605EB8" w:rsidSect="005E7F77">
      <w:headerReference w:type="even" r:id="rId8"/>
      <w:headerReference w:type="default" r:id="rId9"/>
      <w:headerReference w:type="first" r:id="rId10"/>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36" w:rsidRDefault="004A5936" w:rsidP="00305CAE">
      <w:pPr>
        <w:spacing w:after="0" w:line="240" w:lineRule="auto"/>
      </w:pPr>
      <w:r>
        <w:separator/>
      </w:r>
    </w:p>
  </w:endnote>
  <w:endnote w:type="continuationSeparator" w:id="0">
    <w:p w:rsidR="004A5936" w:rsidRDefault="004A5936" w:rsidP="0030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36" w:rsidRDefault="004A5936" w:rsidP="00305CAE">
      <w:pPr>
        <w:spacing w:after="0" w:line="240" w:lineRule="auto"/>
      </w:pPr>
      <w:r>
        <w:separator/>
      </w:r>
    </w:p>
  </w:footnote>
  <w:footnote w:type="continuationSeparator" w:id="0">
    <w:p w:rsidR="004A5936" w:rsidRDefault="004A5936" w:rsidP="0030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0D" w:rsidRDefault="00A54D11" w:rsidP="00761882">
    <w:pPr>
      <w:pStyle w:val="a5"/>
      <w:framePr w:wrap="around" w:vAnchor="text" w:hAnchor="margin" w:xAlign="center" w:y="1"/>
      <w:rPr>
        <w:rStyle w:val="a7"/>
      </w:rPr>
    </w:pPr>
    <w:r>
      <w:rPr>
        <w:rStyle w:val="a7"/>
      </w:rPr>
      <w:fldChar w:fldCharType="begin"/>
    </w:r>
    <w:r w:rsidR="00FC1A0D">
      <w:rPr>
        <w:rStyle w:val="a7"/>
      </w:rPr>
      <w:instrText xml:space="preserve">PAGE  </w:instrText>
    </w:r>
    <w:r>
      <w:rPr>
        <w:rStyle w:val="a7"/>
      </w:rPr>
      <w:fldChar w:fldCharType="end"/>
    </w:r>
  </w:p>
  <w:p w:rsidR="00FC1A0D" w:rsidRDefault="00FC1A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0D" w:rsidRDefault="00A54D11" w:rsidP="00787F98">
    <w:pPr>
      <w:pStyle w:val="a5"/>
      <w:framePr w:wrap="around" w:vAnchor="text" w:hAnchor="margin" w:xAlign="center" w:y="1"/>
      <w:rPr>
        <w:rStyle w:val="a7"/>
      </w:rPr>
    </w:pPr>
    <w:r>
      <w:rPr>
        <w:rStyle w:val="a7"/>
      </w:rPr>
      <w:fldChar w:fldCharType="begin"/>
    </w:r>
    <w:r w:rsidR="00FC1A0D">
      <w:rPr>
        <w:rStyle w:val="a7"/>
      </w:rPr>
      <w:instrText xml:space="preserve">PAGE  </w:instrText>
    </w:r>
    <w:r>
      <w:rPr>
        <w:rStyle w:val="a7"/>
      </w:rPr>
      <w:fldChar w:fldCharType="separate"/>
    </w:r>
    <w:r w:rsidR="006B62D2">
      <w:rPr>
        <w:rStyle w:val="a7"/>
        <w:noProof/>
      </w:rPr>
      <w:t>2</w:t>
    </w:r>
    <w:r>
      <w:rPr>
        <w:rStyle w:val="a7"/>
      </w:rPr>
      <w:fldChar w:fldCharType="end"/>
    </w:r>
  </w:p>
  <w:p w:rsidR="00FC1A0D" w:rsidRPr="00152CCC" w:rsidRDefault="00FC1A0D">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0D" w:rsidRDefault="00FC1A0D">
    <w:pPr>
      <w:pStyle w:val="a5"/>
      <w:jc w:val="center"/>
    </w:pPr>
  </w:p>
  <w:p w:rsidR="00FC1A0D" w:rsidRDefault="00FC1A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0614"/>
    <w:multiLevelType w:val="hybridMultilevel"/>
    <w:tmpl w:val="F79E2B50"/>
    <w:lvl w:ilvl="0" w:tplc="F508E41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3B"/>
    <w:rsid w:val="0003169F"/>
    <w:rsid w:val="0003674F"/>
    <w:rsid w:val="00076993"/>
    <w:rsid w:val="000B3963"/>
    <w:rsid w:val="000B50E8"/>
    <w:rsid w:val="000C172F"/>
    <w:rsid w:val="000D040C"/>
    <w:rsid w:val="000D349D"/>
    <w:rsid w:val="000E0C70"/>
    <w:rsid w:val="000E384A"/>
    <w:rsid w:val="00104D6D"/>
    <w:rsid w:val="00106FE5"/>
    <w:rsid w:val="00113321"/>
    <w:rsid w:val="00132D87"/>
    <w:rsid w:val="00136A6E"/>
    <w:rsid w:val="00142877"/>
    <w:rsid w:val="00147FB9"/>
    <w:rsid w:val="00152084"/>
    <w:rsid w:val="00152CCC"/>
    <w:rsid w:val="00165F47"/>
    <w:rsid w:val="001702DC"/>
    <w:rsid w:val="00180C07"/>
    <w:rsid w:val="001907C7"/>
    <w:rsid w:val="001A7236"/>
    <w:rsid w:val="001B666C"/>
    <w:rsid w:val="001C7F9E"/>
    <w:rsid w:val="001D0196"/>
    <w:rsid w:val="00210243"/>
    <w:rsid w:val="00224E20"/>
    <w:rsid w:val="0025702F"/>
    <w:rsid w:val="0026614E"/>
    <w:rsid w:val="00277554"/>
    <w:rsid w:val="0029187D"/>
    <w:rsid w:val="002A21B8"/>
    <w:rsid w:val="002B5E1F"/>
    <w:rsid w:val="002C1069"/>
    <w:rsid w:val="002C57BA"/>
    <w:rsid w:val="002E020B"/>
    <w:rsid w:val="002E655A"/>
    <w:rsid w:val="0030276E"/>
    <w:rsid w:val="00305CAE"/>
    <w:rsid w:val="0032749D"/>
    <w:rsid w:val="0033444D"/>
    <w:rsid w:val="00341BE3"/>
    <w:rsid w:val="003545E8"/>
    <w:rsid w:val="003610DB"/>
    <w:rsid w:val="00377B02"/>
    <w:rsid w:val="00386697"/>
    <w:rsid w:val="00393A82"/>
    <w:rsid w:val="00394D94"/>
    <w:rsid w:val="003A3B53"/>
    <w:rsid w:val="003A485D"/>
    <w:rsid w:val="003B5C59"/>
    <w:rsid w:val="003F1567"/>
    <w:rsid w:val="00426C06"/>
    <w:rsid w:val="00447C93"/>
    <w:rsid w:val="004803AC"/>
    <w:rsid w:val="004873D8"/>
    <w:rsid w:val="004A5936"/>
    <w:rsid w:val="004B7D73"/>
    <w:rsid w:val="004C6F1D"/>
    <w:rsid w:val="004C7F53"/>
    <w:rsid w:val="004E3DB7"/>
    <w:rsid w:val="004F68F1"/>
    <w:rsid w:val="005014C6"/>
    <w:rsid w:val="005529EA"/>
    <w:rsid w:val="00555BB9"/>
    <w:rsid w:val="00557001"/>
    <w:rsid w:val="00571326"/>
    <w:rsid w:val="00574509"/>
    <w:rsid w:val="00575ED0"/>
    <w:rsid w:val="005A12BA"/>
    <w:rsid w:val="005A2CF1"/>
    <w:rsid w:val="005B28E8"/>
    <w:rsid w:val="005E7F77"/>
    <w:rsid w:val="00601FAE"/>
    <w:rsid w:val="00604819"/>
    <w:rsid w:val="00605EB8"/>
    <w:rsid w:val="00611AAC"/>
    <w:rsid w:val="006429A4"/>
    <w:rsid w:val="00653F0B"/>
    <w:rsid w:val="00684DBF"/>
    <w:rsid w:val="006A22AB"/>
    <w:rsid w:val="006B62D2"/>
    <w:rsid w:val="006C783B"/>
    <w:rsid w:val="006D28E1"/>
    <w:rsid w:val="006E214C"/>
    <w:rsid w:val="006E2DDB"/>
    <w:rsid w:val="006E7C9F"/>
    <w:rsid w:val="006F3360"/>
    <w:rsid w:val="00714EBD"/>
    <w:rsid w:val="00715C93"/>
    <w:rsid w:val="007433B3"/>
    <w:rsid w:val="00757D5D"/>
    <w:rsid w:val="00761882"/>
    <w:rsid w:val="0076214D"/>
    <w:rsid w:val="00787F98"/>
    <w:rsid w:val="007959C4"/>
    <w:rsid w:val="00796747"/>
    <w:rsid w:val="007972BA"/>
    <w:rsid w:val="007976F6"/>
    <w:rsid w:val="007E312D"/>
    <w:rsid w:val="007F38E8"/>
    <w:rsid w:val="00822EAA"/>
    <w:rsid w:val="00841441"/>
    <w:rsid w:val="00844639"/>
    <w:rsid w:val="00881757"/>
    <w:rsid w:val="00896945"/>
    <w:rsid w:val="008B715D"/>
    <w:rsid w:val="008C4F1F"/>
    <w:rsid w:val="008E2148"/>
    <w:rsid w:val="00906639"/>
    <w:rsid w:val="0091503A"/>
    <w:rsid w:val="00924CD3"/>
    <w:rsid w:val="0093755A"/>
    <w:rsid w:val="0093781A"/>
    <w:rsid w:val="009473DD"/>
    <w:rsid w:val="00951AEA"/>
    <w:rsid w:val="0095367B"/>
    <w:rsid w:val="00960319"/>
    <w:rsid w:val="0097401A"/>
    <w:rsid w:val="00990D46"/>
    <w:rsid w:val="00990DCF"/>
    <w:rsid w:val="00992221"/>
    <w:rsid w:val="009C6AA8"/>
    <w:rsid w:val="009D61FD"/>
    <w:rsid w:val="009E0389"/>
    <w:rsid w:val="00A30DC8"/>
    <w:rsid w:val="00A3625D"/>
    <w:rsid w:val="00A530D1"/>
    <w:rsid w:val="00A53561"/>
    <w:rsid w:val="00A54D11"/>
    <w:rsid w:val="00A62477"/>
    <w:rsid w:val="00A62704"/>
    <w:rsid w:val="00A71C3F"/>
    <w:rsid w:val="00A842CD"/>
    <w:rsid w:val="00A90446"/>
    <w:rsid w:val="00A93505"/>
    <w:rsid w:val="00AA1753"/>
    <w:rsid w:val="00AE33C7"/>
    <w:rsid w:val="00AE3AE8"/>
    <w:rsid w:val="00AE6AD5"/>
    <w:rsid w:val="00B01C9E"/>
    <w:rsid w:val="00B02B50"/>
    <w:rsid w:val="00B07FC1"/>
    <w:rsid w:val="00B14F2C"/>
    <w:rsid w:val="00B252D4"/>
    <w:rsid w:val="00B73AF7"/>
    <w:rsid w:val="00B81B5E"/>
    <w:rsid w:val="00B96773"/>
    <w:rsid w:val="00BA5B1B"/>
    <w:rsid w:val="00BB7971"/>
    <w:rsid w:val="00BF07FA"/>
    <w:rsid w:val="00C36140"/>
    <w:rsid w:val="00C37528"/>
    <w:rsid w:val="00C6019D"/>
    <w:rsid w:val="00C679CE"/>
    <w:rsid w:val="00C772C8"/>
    <w:rsid w:val="00CB7751"/>
    <w:rsid w:val="00CD1840"/>
    <w:rsid w:val="00CE48AE"/>
    <w:rsid w:val="00CE57F3"/>
    <w:rsid w:val="00CF6821"/>
    <w:rsid w:val="00CF728D"/>
    <w:rsid w:val="00D16762"/>
    <w:rsid w:val="00D24F05"/>
    <w:rsid w:val="00D32B7F"/>
    <w:rsid w:val="00D40176"/>
    <w:rsid w:val="00D418A2"/>
    <w:rsid w:val="00D42F13"/>
    <w:rsid w:val="00D60BE9"/>
    <w:rsid w:val="00D7133B"/>
    <w:rsid w:val="00D73D9E"/>
    <w:rsid w:val="00D74C09"/>
    <w:rsid w:val="00D87F06"/>
    <w:rsid w:val="00E16CC2"/>
    <w:rsid w:val="00E212E6"/>
    <w:rsid w:val="00E26423"/>
    <w:rsid w:val="00E339A0"/>
    <w:rsid w:val="00E420BE"/>
    <w:rsid w:val="00E52712"/>
    <w:rsid w:val="00E53DBA"/>
    <w:rsid w:val="00E6514F"/>
    <w:rsid w:val="00E848CC"/>
    <w:rsid w:val="00E86B78"/>
    <w:rsid w:val="00E9689D"/>
    <w:rsid w:val="00EA6008"/>
    <w:rsid w:val="00EB5603"/>
    <w:rsid w:val="00ED30D7"/>
    <w:rsid w:val="00EE34F6"/>
    <w:rsid w:val="00F15B2F"/>
    <w:rsid w:val="00F20F40"/>
    <w:rsid w:val="00F31625"/>
    <w:rsid w:val="00F44F4B"/>
    <w:rsid w:val="00F57691"/>
    <w:rsid w:val="00F623D3"/>
    <w:rsid w:val="00F91EAC"/>
    <w:rsid w:val="00FA1E96"/>
    <w:rsid w:val="00FA49BF"/>
    <w:rsid w:val="00FB69D9"/>
    <w:rsid w:val="00FC1999"/>
    <w:rsid w:val="00FC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D66B7"/>
  <w15:docId w15:val="{821C408B-9778-4888-A308-D1672C5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AE"/>
    <w:pPr>
      <w:spacing w:after="200" w:line="276" w:lineRule="auto"/>
    </w:pPr>
    <w:rPr>
      <w:sz w:val="22"/>
      <w:szCs w:val="22"/>
      <w:lang w:val="uk-UA"/>
    </w:rPr>
  </w:style>
  <w:style w:type="paragraph" w:styleId="3">
    <w:name w:val="heading 3"/>
    <w:basedOn w:val="a"/>
    <w:next w:val="a"/>
    <w:link w:val="30"/>
    <w:uiPriority w:val="99"/>
    <w:qFormat/>
    <w:rsid w:val="00E52712"/>
    <w:pPr>
      <w:keepNext/>
      <w:spacing w:after="0" w:line="240" w:lineRule="auto"/>
      <w:jc w:val="center"/>
      <w:outlineLvl w:val="2"/>
    </w:pPr>
    <w:rPr>
      <w:rFonts w:ascii="Times New Roman" w:hAnsi="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52712"/>
    <w:rPr>
      <w:rFonts w:ascii="Times New Roman" w:hAnsi="Times New Roman" w:cs="Times New Roman"/>
      <w:b/>
      <w:sz w:val="20"/>
      <w:szCs w:val="20"/>
      <w:lang w:val="en-US"/>
    </w:rPr>
  </w:style>
  <w:style w:type="paragraph" w:styleId="a3">
    <w:name w:val="Body Text"/>
    <w:basedOn w:val="a"/>
    <w:link w:val="a4"/>
    <w:uiPriority w:val="99"/>
    <w:rsid w:val="00D7133B"/>
    <w:pPr>
      <w:spacing w:after="0" w:line="187" w:lineRule="auto"/>
      <w:jc w:val="both"/>
    </w:pPr>
    <w:rPr>
      <w:rFonts w:ascii="Times New Roman" w:hAnsi="Times New Roman"/>
      <w:sz w:val="28"/>
      <w:szCs w:val="28"/>
    </w:rPr>
  </w:style>
  <w:style w:type="character" w:customStyle="1" w:styleId="a4">
    <w:name w:val="Основной текст Знак"/>
    <w:link w:val="a3"/>
    <w:uiPriority w:val="99"/>
    <w:locked/>
    <w:rsid w:val="00D7133B"/>
    <w:rPr>
      <w:rFonts w:ascii="Times New Roman" w:hAnsi="Times New Roman" w:cs="Times New Roman"/>
      <w:sz w:val="28"/>
      <w:szCs w:val="28"/>
      <w:lang w:val="uk-UA"/>
    </w:rPr>
  </w:style>
  <w:style w:type="paragraph" w:styleId="a5">
    <w:name w:val="header"/>
    <w:basedOn w:val="a"/>
    <w:link w:val="a6"/>
    <w:uiPriority w:val="99"/>
    <w:rsid w:val="00D7133B"/>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locked/>
    <w:rsid w:val="00D7133B"/>
    <w:rPr>
      <w:rFonts w:ascii="Times New Roman" w:hAnsi="Times New Roman" w:cs="Times New Roman"/>
      <w:sz w:val="24"/>
      <w:szCs w:val="24"/>
    </w:rPr>
  </w:style>
  <w:style w:type="character" w:styleId="a7">
    <w:name w:val="page number"/>
    <w:uiPriority w:val="99"/>
    <w:rsid w:val="00D7133B"/>
    <w:rPr>
      <w:rFonts w:cs="Times New Roman"/>
    </w:rPr>
  </w:style>
  <w:style w:type="table" w:styleId="a8">
    <w:name w:val="Table Grid"/>
    <w:basedOn w:val="a1"/>
    <w:uiPriority w:val="99"/>
    <w:rsid w:val="00E52712"/>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semiHidden/>
    <w:rsid w:val="004C6F1D"/>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4C6F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8DCD-DDF5-470E-B1A6-822BF0C3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admin4</dc:creator>
  <cp:keywords/>
  <dc:description/>
  <cp:lastModifiedBy>Олександр ЗДРОК</cp:lastModifiedBy>
  <cp:revision>162</cp:revision>
  <cp:lastPrinted>2023-07-24T11:11:00Z</cp:lastPrinted>
  <dcterms:created xsi:type="dcterms:W3CDTF">2023-02-27T08:45:00Z</dcterms:created>
  <dcterms:modified xsi:type="dcterms:W3CDTF">2023-08-03T14:17:00Z</dcterms:modified>
</cp:coreProperties>
</file>