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FF" w:rsidRPr="00E245B7" w:rsidRDefault="008F46FF" w:rsidP="00DA390D">
      <w:pPr>
        <w:spacing w:after="0"/>
        <w:jc w:val="both"/>
        <w:rPr>
          <w:rFonts w:ascii="Times New Roman" w:hAnsi="Times New Roman"/>
          <w:sz w:val="28"/>
          <w:szCs w:val="28"/>
          <w:lang w:val="uk-UA"/>
        </w:rPr>
      </w:pPr>
      <w:r w:rsidRPr="00E245B7">
        <w:rPr>
          <w:rFonts w:ascii="Times New Roman" w:hAnsi="Times New Roman"/>
          <w:sz w:val="28"/>
          <w:szCs w:val="28"/>
          <w:lang w:val="uk-UA"/>
        </w:rPr>
        <w:t xml:space="preserve">                                                                    Додаток </w:t>
      </w:r>
    </w:p>
    <w:p w:rsidR="008F46FF" w:rsidRPr="00E245B7" w:rsidRDefault="008F46FF" w:rsidP="00DA390D">
      <w:pPr>
        <w:spacing w:after="0"/>
        <w:jc w:val="both"/>
        <w:rPr>
          <w:rFonts w:ascii="Times New Roman" w:hAnsi="Times New Roman"/>
          <w:sz w:val="28"/>
          <w:szCs w:val="28"/>
          <w:lang w:val="uk-UA"/>
        </w:rPr>
      </w:pPr>
      <w:r w:rsidRPr="00E245B7">
        <w:rPr>
          <w:rFonts w:ascii="Times New Roman" w:hAnsi="Times New Roman"/>
          <w:sz w:val="28"/>
          <w:szCs w:val="28"/>
          <w:lang w:val="uk-UA"/>
        </w:rPr>
        <w:t xml:space="preserve">                                                                    до розпорядження голови</w:t>
      </w:r>
    </w:p>
    <w:p w:rsidR="008F46FF" w:rsidRPr="00E245B7" w:rsidRDefault="008F46FF" w:rsidP="00DA390D">
      <w:pPr>
        <w:spacing w:after="0"/>
        <w:jc w:val="both"/>
        <w:rPr>
          <w:rFonts w:ascii="Times New Roman" w:hAnsi="Times New Roman"/>
          <w:sz w:val="28"/>
          <w:szCs w:val="28"/>
          <w:lang w:val="uk-UA"/>
        </w:rPr>
      </w:pPr>
      <w:r w:rsidRPr="00E245B7">
        <w:rPr>
          <w:rFonts w:ascii="Times New Roman" w:hAnsi="Times New Roman"/>
          <w:sz w:val="28"/>
          <w:szCs w:val="28"/>
          <w:lang w:val="uk-UA"/>
        </w:rPr>
        <w:t xml:space="preserve">                                                                     райдержадміністрації</w:t>
      </w:r>
    </w:p>
    <w:p w:rsidR="008F46FF" w:rsidRPr="00E245B7" w:rsidRDefault="008F46FF" w:rsidP="00DA390D">
      <w:pPr>
        <w:spacing w:after="0"/>
        <w:jc w:val="both"/>
        <w:rPr>
          <w:rFonts w:ascii="Times New Roman" w:hAnsi="Times New Roman"/>
          <w:sz w:val="28"/>
          <w:szCs w:val="28"/>
          <w:lang w:val="uk-UA"/>
        </w:rPr>
      </w:pPr>
      <w:r w:rsidRPr="00E245B7">
        <w:rPr>
          <w:rFonts w:ascii="Times New Roman" w:hAnsi="Times New Roman"/>
          <w:sz w:val="28"/>
          <w:szCs w:val="28"/>
          <w:lang w:val="uk-UA"/>
        </w:rPr>
        <w:t xml:space="preserve">                                                                       </w:t>
      </w:r>
      <w:r w:rsidRPr="00E245B7">
        <w:rPr>
          <w:rFonts w:ascii="Times New Roman" w:hAnsi="Times New Roman"/>
          <w:sz w:val="28"/>
          <w:szCs w:val="28"/>
          <w:u w:val="single"/>
          <w:lang w:val="uk-UA"/>
        </w:rPr>
        <w:t>30.08.2021</w:t>
      </w:r>
      <w:r w:rsidRPr="00E245B7">
        <w:rPr>
          <w:rFonts w:ascii="Times New Roman" w:hAnsi="Times New Roman"/>
          <w:sz w:val="28"/>
          <w:szCs w:val="28"/>
          <w:lang w:val="uk-UA"/>
        </w:rPr>
        <w:t xml:space="preserve">   </w:t>
      </w:r>
      <w:r w:rsidRPr="00E245B7">
        <w:rPr>
          <w:rFonts w:ascii="Times New Roman" w:hAnsi="Times New Roman"/>
          <w:sz w:val="28"/>
          <w:szCs w:val="28"/>
          <w:u w:val="single"/>
          <w:lang w:val="uk-UA"/>
        </w:rPr>
        <w:t>№ 424</w:t>
      </w:r>
    </w:p>
    <w:p w:rsidR="008F46FF" w:rsidRPr="00E245B7" w:rsidRDefault="008F46FF" w:rsidP="007E3248">
      <w:pPr>
        <w:spacing w:after="0"/>
        <w:jc w:val="center"/>
        <w:rPr>
          <w:rFonts w:ascii="Times New Roman" w:hAnsi="Times New Roman"/>
          <w:b/>
          <w:sz w:val="28"/>
          <w:szCs w:val="28"/>
          <w:lang w:val="uk-UA"/>
        </w:rPr>
      </w:pPr>
    </w:p>
    <w:p w:rsidR="008F46FF" w:rsidRPr="00E245B7" w:rsidRDefault="008F46FF" w:rsidP="007E3248">
      <w:pPr>
        <w:spacing w:after="0"/>
        <w:jc w:val="center"/>
        <w:rPr>
          <w:rFonts w:ascii="Times New Roman" w:hAnsi="Times New Roman"/>
          <w:b/>
          <w:sz w:val="28"/>
          <w:szCs w:val="28"/>
          <w:lang w:val="uk-UA"/>
        </w:rPr>
      </w:pPr>
      <w:r w:rsidRPr="00E245B7">
        <w:rPr>
          <w:rFonts w:ascii="Times New Roman" w:hAnsi="Times New Roman"/>
          <w:b/>
          <w:sz w:val="28"/>
          <w:szCs w:val="28"/>
          <w:lang w:val="uk-UA"/>
        </w:rPr>
        <w:t>ПРОГНОЗ</w:t>
      </w:r>
    </w:p>
    <w:p w:rsidR="008F46FF" w:rsidRPr="00E245B7" w:rsidRDefault="008F46FF" w:rsidP="00CF16A0">
      <w:pPr>
        <w:spacing w:after="0"/>
        <w:jc w:val="center"/>
        <w:rPr>
          <w:rFonts w:ascii="Times New Roman" w:hAnsi="Times New Roman"/>
          <w:b/>
          <w:sz w:val="28"/>
          <w:szCs w:val="28"/>
          <w:lang w:val="uk-UA"/>
        </w:rPr>
      </w:pPr>
      <w:r w:rsidRPr="00E245B7">
        <w:rPr>
          <w:rFonts w:ascii="Times New Roman" w:hAnsi="Times New Roman"/>
          <w:b/>
          <w:sz w:val="28"/>
          <w:szCs w:val="28"/>
          <w:lang w:val="uk-UA"/>
        </w:rPr>
        <w:t xml:space="preserve"> районного бюджету Рівненського району</w:t>
      </w:r>
    </w:p>
    <w:p w:rsidR="008F46FF" w:rsidRPr="00E245B7" w:rsidRDefault="008F46FF" w:rsidP="007E3248">
      <w:pPr>
        <w:spacing w:after="0"/>
        <w:jc w:val="center"/>
        <w:rPr>
          <w:rFonts w:ascii="Times New Roman" w:hAnsi="Times New Roman"/>
          <w:b/>
          <w:sz w:val="28"/>
          <w:szCs w:val="28"/>
          <w:lang w:val="uk-UA"/>
        </w:rPr>
      </w:pPr>
      <w:r w:rsidRPr="00E245B7">
        <w:rPr>
          <w:rFonts w:ascii="Times New Roman" w:hAnsi="Times New Roman"/>
          <w:b/>
          <w:sz w:val="28"/>
          <w:szCs w:val="28"/>
          <w:lang w:val="uk-UA"/>
        </w:rPr>
        <w:t>на 2022-2024 роки</w:t>
      </w:r>
    </w:p>
    <w:p w:rsidR="008F46FF" w:rsidRPr="00E245B7" w:rsidRDefault="008F46FF" w:rsidP="007E3248">
      <w:pPr>
        <w:spacing w:after="0"/>
        <w:jc w:val="center"/>
        <w:rPr>
          <w:rFonts w:ascii="Times New Roman" w:hAnsi="Times New Roman"/>
          <w:i/>
          <w:sz w:val="24"/>
          <w:szCs w:val="24"/>
          <w:u w:val="single"/>
          <w:lang w:val="uk-UA"/>
        </w:rPr>
      </w:pPr>
      <w:r w:rsidRPr="00E245B7">
        <w:rPr>
          <w:rFonts w:ascii="Times New Roman" w:hAnsi="Times New Roman"/>
          <w:i/>
          <w:sz w:val="24"/>
          <w:szCs w:val="24"/>
          <w:u w:val="single"/>
          <w:lang w:val="uk-UA"/>
        </w:rPr>
        <w:t>код бюджету 17314200000</w:t>
      </w:r>
    </w:p>
    <w:p w:rsidR="008F46FF" w:rsidRPr="00E245B7" w:rsidRDefault="008F46FF" w:rsidP="007E3248">
      <w:pPr>
        <w:spacing w:after="0"/>
        <w:jc w:val="center"/>
        <w:rPr>
          <w:rFonts w:ascii="Times New Roman" w:hAnsi="Times New Roman"/>
          <w:i/>
          <w:sz w:val="24"/>
          <w:szCs w:val="24"/>
          <w:u w:val="single"/>
          <w:lang w:val="uk-UA"/>
        </w:rPr>
      </w:pPr>
    </w:p>
    <w:p w:rsidR="008F46FF" w:rsidRPr="00E245B7" w:rsidRDefault="008F46FF" w:rsidP="00CC2543">
      <w:pPr>
        <w:spacing w:after="0" w:line="240" w:lineRule="auto"/>
        <w:jc w:val="center"/>
        <w:rPr>
          <w:rFonts w:ascii="Times New Roman" w:hAnsi="Times New Roman"/>
          <w:b/>
          <w:sz w:val="28"/>
          <w:szCs w:val="28"/>
          <w:lang w:val="uk-UA"/>
        </w:rPr>
      </w:pPr>
      <w:r w:rsidRPr="00E245B7">
        <w:rPr>
          <w:rFonts w:ascii="Times New Roman" w:hAnsi="Times New Roman"/>
          <w:b/>
          <w:sz w:val="28"/>
          <w:szCs w:val="28"/>
          <w:lang w:val="uk-UA"/>
        </w:rPr>
        <w:t>І. Загальна частина</w:t>
      </w:r>
    </w:p>
    <w:p w:rsidR="008F46FF" w:rsidRPr="00E245B7" w:rsidRDefault="008F46FF" w:rsidP="00CC2543">
      <w:pPr>
        <w:spacing w:after="0" w:line="240" w:lineRule="auto"/>
        <w:jc w:val="center"/>
        <w:rPr>
          <w:rFonts w:ascii="Times New Roman" w:hAnsi="Times New Roman"/>
          <w:b/>
          <w:sz w:val="28"/>
          <w:szCs w:val="28"/>
          <w:lang w:val="uk-UA"/>
        </w:rPr>
      </w:pPr>
    </w:p>
    <w:p w:rsidR="008F46FF" w:rsidRPr="00E245B7" w:rsidRDefault="008F46FF" w:rsidP="00CB6CCA">
      <w:pPr>
        <w:spacing w:after="0" w:line="240" w:lineRule="auto"/>
        <w:ind w:firstLine="709"/>
        <w:jc w:val="both"/>
        <w:rPr>
          <w:rFonts w:ascii="Times New Roman" w:hAnsi="Times New Roman"/>
          <w:sz w:val="28"/>
          <w:szCs w:val="28"/>
          <w:shd w:val="clear" w:color="auto" w:fill="FFFFFF"/>
          <w:lang w:val="uk-UA"/>
        </w:rPr>
      </w:pPr>
      <w:r w:rsidRPr="00E245B7">
        <w:rPr>
          <w:rFonts w:ascii="Times New Roman" w:hAnsi="Times New Roman"/>
          <w:sz w:val="28"/>
          <w:szCs w:val="28"/>
          <w:shd w:val="clear" w:color="auto" w:fill="FFFFFF"/>
          <w:lang w:val="uk-UA"/>
        </w:rPr>
        <w:t>Цей Прогноз визначає основні напрями дій на середньостроковий період, які сприятимуть досягненню довгострокових стратегічних цілей. Метою середньострокового бюджетного прогнозування є створення дієвого механізму управління бюджетним процесом, встановлення взаємозв’язку між стратегічними цілями розвитку району та можливостями районного бюджету у середньостроковій перспективі. Головною метою на середньостроковий період є забезпечення відновлення та економічного зростання, проведення комплексних заходів у всіх сферах життєдіяльності із одночасним забезпеченням на належному рівні соціальної підтримки населення.</w:t>
      </w:r>
    </w:p>
    <w:p w:rsidR="008F46FF" w:rsidRPr="00E245B7" w:rsidRDefault="008F46FF" w:rsidP="00CB6CCA">
      <w:pPr>
        <w:spacing w:after="0" w:line="240" w:lineRule="auto"/>
        <w:ind w:firstLine="709"/>
        <w:jc w:val="both"/>
        <w:rPr>
          <w:rFonts w:ascii="Times New Roman" w:hAnsi="Times New Roman"/>
          <w:sz w:val="28"/>
          <w:szCs w:val="28"/>
          <w:shd w:val="clear" w:color="auto" w:fill="FFFFFF"/>
          <w:lang w:val="uk-UA"/>
        </w:rPr>
      </w:pPr>
      <w:r w:rsidRPr="00E245B7">
        <w:rPr>
          <w:rFonts w:ascii="Times New Roman" w:hAnsi="Times New Roman"/>
          <w:sz w:val="28"/>
          <w:szCs w:val="28"/>
          <w:shd w:val="clear" w:color="auto" w:fill="FFFFFF"/>
          <w:lang w:val="uk-UA"/>
        </w:rPr>
        <w:t>У бюджетній сфері основним завданням залишатиметься забезпечення макроекономічної стабільності, збалансованості та стійкості бюджетної системи. Податково-бюджетна політика на середньостроковий період здійснюватиметься на основі положень Бюджетного кодексу України та Податкового кодексу України зі змінами і доповненнями, підвищення ефективності використання бюджетних коштів, відповідальності всіх учасників бюджетного процесу тощо.</w:t>
      </w:r>
    </w:p>
    <w:p w:rsidR="008F46FF" w:rsidRPr="00E245B7" w:rsidRDefault="008F46FF" w:rsidP="00CB6CCA">
      <w:pPr>
        <w:spacing w:after="0" w:line="240" w:lineRule="auto"/>
        <w:ind w:firstLine="709"/>
        <w:jc w:val="both"/>
        <w:rPr>
          <w:rFonts w:ascii="Times New Roman" w:hAnsi="Times New Roman"/>
          <w:sz w:val="28"/>
          <w:szCs w:val="28"/>
          <w:lang w:val="uk-UA"/>
        </w:rPr>
      </w:pPr>
      <w:r w:rsidRPr="00E245B7">
        <w:rPr>
          <w:rFonts w:ascii="Times New Roman" w:hAnsi="Times New Roman"/>
          <w:sz w:val="28"/>
          <w:szCs w:val="28"/>
          <w:shd w:val="clear" w:color="auto" w:fill="FFFFFF"/>
          <w:lang w:val="uk-UA"/>
        </w:rPr>
        <w:t>Прогноз районного бюджету ґрунтується на прогнозних макропоказниках економічного і соціального розвитку та державних соціальних стандартах, затверджених постановою Кабінету Міністрів України від 31 травня                    2021 року № 548 «Про схвалення Бюджетної декларації на 2022-2024 роки» та  </w:t>
      </w:r>
      <w:r w:rsidRPr="00E245B7">
        <w:rPr>
          <w:rFonts w:ascii="Times New Roman" w:hAnsi="Times New Roman"/>
          <w:sz w:val="28"/>
          <w:szCs w:val="28"/>
          <w:lang w:val="uk-UA"/>
        </w:rPr>
        <w:t>спрямований на реалізацію цілей державної політики у всіх сферах, забезпечення пріоритетних напрямків розвитку району. Організація роботи щодо складання прогнозу районного бюджету на 2022-2024 роки здійснюється відповідно до Плану заходів, який затверджений розпорядженням голови районної державної адміністрації від 04 червня 2021 року №305.</w:t>
      </w:r>
    </w:p>
    <w:p w:rsidR="008F46FF" w:rsidRPr="00E245B7" w:rsidRDefault="008F46FF" w:rsidP="00CB6CCA">
      <w:pPr>
        <w:spacing w:after="0" w:line="240" w:lineRule="auto"/>
        <w:ind w:firstLine="709"/>
        <w:jc w:val="both"/>
        <w:rPr>
          <w:rFonts w:ascii="Times New Roman" w:hAnsi="Times New Roman"/>
          <w:sz w:val="28"/>
          <w:szCs w:val="28"/>
          <w:lang w:val="uk-UA"/>
        </w:rPr>
      </w:pPr>
      <w:r w:rsidRPr="00E245B7">
        <w:rPr>
          <w:rFonts w:ascii="Times New Roman" w:hAnsi="Times New Roman"/>
          <w:sz w:val="28"/>
          <w:szCs w:val="28"/>
          <w:lang w:val="uk-UA"/>
        </w:rPr>
        <w:t>З метою ефективного та своєчасного проходження бюджетного процесу під час складання прогнозу районного бюджету на 2022-2024 роки головні розпорядники бюджетних коштів дотримувалися вимог Бюджетного та Податкового кодексів України, з урахуванням прийнятих законодавчих змін; враховували основні макроекономічні показники економічного та соціального розвитку України, території на середньостроковий період, а  також забезпечили своєчасну підготовку та подання матеріалів.</w:t>
      </w:r>
    </w:p>
    <w:p w:rsidR="008F46FF" w:rsidRPr="00E245B7" w:rsidRDefault="008F46FF" w:rsidP="00CB6CCA">
      <w:pPr>
        <w:spacing w:after="0" w:line="240" w:lineRule="auto"/>
        <w:ind w:firstLine="709"/>
        <w:jc w:val="both"/>
        <w:rPr>
          <w:rFonts w:ascii="Times New Roman" w:hAnsi="Times New Roman"/>
          <w:sz w:val="28"/>
          <w:szCs w:val="28"/>
          <w:lang w:val="uk-UA"/>
        </w:rPr>
      </w:pPr>
    </w:p>
    <w:p w:rsidR="008F46FF" w:rsidRPr="00E245B7" w:rsidRDefault="008F46FF" w:rsidP="00CC2543">
      <w:pPr>
        <w:spacing w:after="0" w:line="240" w:lineRule="auto"/>
        <w:jc w:val="center"/>
        <w:rPr>
          <w:rFonts w:ascii="Times New Roman" w:hAnsi="Times New Roman"/>
          <w:b/>
          <w:sz w:val="28"/>
          <w:szCs w:val="28"/>
          <w:lang w:val="uk-UA"/>
        </w:rPr>
      </w:pPr>
      <w:r w:rsidRPr="00E245B7">
        <w:rPr>
          <w:rFonts w:ascii="Times New Roman" w:hAnsi="Times New Roman"/>
          <w:b/>
          <w:sz w:val="28"/>
          <w:szCs w:val="28"/>
          <w:lang w:val="uk-UA"/>
        </w:rPr>
        <w:t>ІІ. Основні прогнозні показники економічного та соціального розвитку</w:t>
      </w:r>
    </w:p>
    <w:p w:rsidR="008F46FF" w:rsidRPr="00E245B7" w:rsidRDefault="008F46FF" w:rsidP="00CB6CCA">
      <w:pPr>
        <w:spacing w:after="0" w:line="240" w:lineRule="auto"/>
        <w:jc w:val="both"/>
        <w:rPr>
          <w:rFonts w:ascii="Times New Roman" w:hAnsi="Times New Roman"/>
          <w:b/>
          <w:sz w:val="28"/>
          <w:szCs w:val="28"/>
          <w:lang w:val="uk-UA"/>
        </w:rPr>
      </w:pPr>
      <w:r w:rsidRPr="00E245B7">
        <w:rPr>
          <w:rFonts w:ascii="Times New Roman" w:hAnsi="Times New Roman"/>
          <w:b/>
          <w:sz w:val="28"/>
          <w:szCs w:val="28"/>
          <w:lang w:val="uk-UA"/>
        </w:rPr>
        <w:tab/>
      </w:r>
    </w:p>
    <w:p w:rsidR="008F46FF" w:rsidRPr="00E245B7" w:rsidRDefault="008F46FF" w:rsidP="0021073F">
      <w:pPr>
        <w:spacing w:after="0" w:line="240" w:lineRule="auto"/>
        <w:ind w:firstLine="708"/>
        <w:jc w:val="both"/>
        <w:rPr>
          <w:rFonts w:ascii="Times New Roman" w:hAnsi="Times New Roman"/>
          <w:color w:val="282828"/>
          <w:sz w:val="30"/>
          <w:szCs w:val="30"/>
          <w:lang w:val="uk-UA"/>
        </w:rPr>
      </w:pPr>
      <w:r w:rsidRPr="00E245B7">
        <w:rPr>
          <w:rFonts w:ascii="Times New Roman" w:hAnsi="Times New Roman"/>
          <w:sz w:val="28"/>
          <w:szCs w:val="28"/>
          <w:lang w:val="uk-UA"/>
        </w:rPr>
        <w:t xml:space="preserve">Ухвалені в Бюджетній декларації показники </w:t>
      </w:r>
      <w:r w:rsidRPr="00E245B7">
        <w:rPr>
          <w:rFonts w:ascii="PT Serif" w:hAnsi="PT Serif"/>
          <w:color w:val="282828"/>
          <w:sz w:val="30"/>
          <w:szCs w:val="30"/>
          <w:lang w:val="uk-UA"/>
        </w:rPr>
        <w:t>визначають розмір мінімальної</w:t>
      </w:r>
      <w:r w:rsidRPr="00E245B7">
        <w:rPr>
          <w:rFonts w:ascii="Times New Roman" w:hAnsi="Times New Roman"/>
          <w:color w:val="282828"/>
          <w:sz w:val="30"/>
          <w:szCs w:val="30"/>
          <w:lang w:val="uk-UA"/>
        </w:rPr>
        <w:t xml:space="preserve"> </w:t>
      </w:r>
      <w:r w:rsidRPr="00E245B7">
        <w:rPr>
          <w:rFonts w:ascii="PT Serif" w:hAnsi="PT Serif"/>
          <w:color w:val="282828"/>
          <w:sz w:val="30"/>
          <w:szCs w:val="30"/>
          <w:lang w:val="uk-UA"/>
        </w:rPr>
        <w:t>заробітної плати,</w:t>
      </w:r>
      <w:r w:rsidRPr="00E245B7">
        <w:rPr>
          <w:rFonts w:ascii="Times New Roman" w:hAnsi="Times New Roman"/>
          <w:color w:val="282828"/>
          <w:sz w:val="30"/>
          <w:szCs w:val="30"/>
          <w:lang w:val="uk-UA"/>
        </w:rPr>
        <w:t xml:space="preserve"> </w:t>
      </w:r>
      <w:r w:rsidRPr="00E245B7">
        <w:rPr>
          <w:rFonts w:ascii="PT Serif" w:hAnsi="PT Serif"/>
          <w:color w:val="282828"/>
          <w:sz w:val="30"/>
          <w:szCs w:val="30"/>
          <w:lang w:val="uk-UA"/>
        </w:rPr>
        <w:t xml:space="preserve">прожитковий мінімум, </w:t>
      </w:r>
      <w:r w:rsidRPr="00E245B7">
        <w:rPr>
          <w:rFonts w:ascii="Times New Roman" w:hAnsi="Times New Roman"/>
          <w:color w:val="282828"/>
          <w:sz w:val="30"/>
          <w:szCs w:val="30"/>
          <w:lang w:val="uk-UA"/>
        </w:rPr>
        <w:t xml:space="preserve"> </w:t>
      </w:r>
    </w:p>
    <w:p w:rsidR="008F46FF" w:rsidRPr="00E245B7" w:rsidRDefault="008F46FF" w:rsidP="005F27B9">
      <w:pPr>
        <w:spacing w:after="0" w:line="240" w:lineRule="auto"/>
        <w:jc w:val="both"/>
        <w:rPr>
          <w:rFonts w:ascii="PT Serif" w:hAnsi="PT Serif"/>
          <w:color w:val="282828"/>
          <w:sz w:val="30"/>
          <w:szCs w:val="30"/>
          <w:lang w:val="uk-UA"/>
        </w:rPr>
      </w:pPr>
      <w:r w:rsidRPr="00E245B7">
        <w:rPr>
          <w:rFonts w:ascii="PT Serif" w:hAnsi="PT Serif"/>
          <w:color w:val="282828"/>
          <w:sz w:val="30"/>
          <w:szCs w:val="30"/>
          <w:lang w:val="uk-UA"/>
        </w:rPr>
        <w:t>взаємовідносини державного</w:t>
      </w:r>
      <w:r w:rsidRPr="00E245B7">
        <w:rPr>
          <w:rFonts w:ascii="Times New Roman" w:hAnsi="Times New Roman"/>
          <w:color w:val="282828"/>
          <w:sz w:val="30"/>
          <w:szCs w:val="30"/>
          <w:lang w:val="uk-UA"/>
        </w:rPr>
        <w:t xml:space="preserve"> бюд</w:t>
      </w:r>
      <w:r w:rsidRPr="00E245B7">
        <w:rPr>
          <w:rFonts w:ascii="PT Serif" w:hAnsi="PT Serif"/>
          <w:color w:val="282828"/>
          <w:sz w:val="30"/>
          <w:szCs w:val="30"/>
          <w:lang w:val="uk-UA"/>
        </w:rPr>
        <w:t>жету</w:t>
      </w:r>
      <w:r w:rsidRPr="00E245B7">
        <w:rPr>
          <w:rFonts w:ascii="Times New Roman" w:hAnsi="Times New Roman"/>
          <w:color w:val="282828"/>
          <w:sz w:val="30"/>
          <w:szCs w:val="30"/>
          <w:lang w:val="uk-UA"/>
        </w:rPr>
        <w:t xml:space="preserve"> </w:t>
      </w:r>
      <w:r w:rsidRPr="00E245B7">
        <w:rPr>
          <w:rFonts w:ascii="PT Serif" w:hAnsi="PT Serif"/>
          <w:color w:val="282828"/>
          <w:sz w:val="30"/>
          <w:szCs w:val="30"/>
          <w:lang w:val="uk-UA"/>
        </w:rPr>
        <w:t>з місцевими бюджетами та міст</w:t>
      </w:r>
      <w:r w:rsidRPr="00E245B7">
        <w:rPr>
          <w:rFonts w:ascii="Times New Roman" w:hAnsi="Times New Roman"/>
          <w:color w:val="282828"/>
          <w:sz w:val="30"/>
          <w:szCs w:val="30"/>
          <w:lang w:val="uk-UA"/>
        </w:rPr>
        <w:t>я</w:t>
      </w:r>
      <w:r w:rsidRPr="00E245B7">
        <w:rPr>
          <w:rFonts w:ascii="PT Serif" w:hAnsi="PT Serif"/>
          <w:color w:val="282828"/>
          <w:sz w:val="30"/>
          <w:szCs w:val="30"/>
          <w:lang w:val="uk-UA"/>
        </w:rPr>
        <w:t>ть інші цілі державної політики.</w:t>
      </w:r>
    </w:p>
    <w:p w:rsidR="008F46FF" w:rsidRPr="00E245B7" w:rsidRDefault="008F46FF" w:rsidP="00CB6CCA">
      <w:pPr>
        <w:pStyle w:val="a3"/>
        <w:shd w:val="clear" w:color="auto" w:fill="FFFFFF"/>
        <w:spacing w:before="0" w:beforeAutospacing="0" w:after="0" w:afterAutospacing="0"/>
        <w:jc w:val="both"/>
        <w:rPr>
          <w:sz w:val="28"/>
          <w:szCs w:val="28"/>
          <w:lang w:val="uk-UA"/>
        </w:rPr>
      </w:pPr>
      <w:r w:rsidRPr="00E245B7">
        <w:rPr>
          <w:color w:val="282828"/>
          <w:sz w:val="28"/>
          <w:szCs w:val="28"/>
          <w:lang w:val="uk-UA"/>
        </w:rPr>
        <w:tab/>
        <w:t xml:space="preserve"> Мінімальна заробітна плата та соціальні стандарти становитимуть</w:t>
      </w:r>
      <w:r w:rsidRPr="00E245B7">
        <w:rPr>
          <w:bCs/>
          <w:sz w:val="28"/>
          <w:szCs w:val="28"/>
          <w:lang w:val="uk-UA"/>
        </w:rPr>
        <w:t>:</w:t>
      </w:r>
    </w:p>
    <w:p w:rsidR="008F46FF" w:rsidRPr="00E245B7" w:rsidRDefault="008F46FF" w:rsidP="00CB6CCA">
      <w:pPr>
        <w:shd w:val="clear" w:color="auto" w:fill="FFFFFF"/>
        <w:spacing w:after="0" w:line="240" w:lineRule="auto"/>
        <w:jc w:val="both"/>
        <w:rPr>
          <w:rFonts w:ascii="Times New Roman" w:hAnsi="Times New Roman"/>
          <w:sz w:val="28"/>
          <w:szCs w:val="28"/>
          <w:lang w:val="uk-UA" w:eastAsia="ru-RU"/>
        </w:rPr>
      </w:pPr>
      <w:r w:rsidRPr="00E245B7">
        <w:rPr>
          <w:rFonts w:ascii="Times New Roman" w:hAnsi="Times New Roman"/>
          <w:sz w:val="28"/>
          <w:szCs w:val="28"/>
          <w:lang w:val="uk-UA" w:eastAsia="ru-RU"/>
        </w:rPr>
        <w:t>Розмір мінімальної заробітної плати:</w:t>
      </w:r>
    </w:p>
    <w:p w:rsidR="008F46FF" w:rsidRPr="00E245B7" w:rsidRDefault="008F46FF" w:rsidP="00CB6CCA">
      <w:pPr>
        <w:shd w:val="clear" w:color="auto" w:fill="FFFFFF"/>
        <w:spacing w:after="0" w:line="240" w:lineRule="auto"/>
        <w:ind w:left="600"/>
        <w:jc w:val="both"/>
        <w:rPr>
          <w:rFonts w:ascii="Times New Roman" w:hAnsi="Times New Roman"/>
          <w:sz w:val="28"/>
          <w:szCs w:val="28"/>
          <w:lang w:val="uk-UA" w:eastAsia="ru-RU"/>
        </w:rPr>
      </w:pPr>
      <w:r w:rsidRPr="00E245B7">
        <w:rPr>
          <w:rFonts w:ascii="Times New Roman" w:hAnsi="Times New Roman"/>
          <w:sz w:val="28"/>
          <w:szCs w:val="28"/>
          <w:lang w:val="uk-UA" w:eastAsia="ru-RU"/>
        </w:rPr>
        <w:t>з 01 січня 2022 року - 6 500 грн, з 01 жовтня 2022 року - 6 700 грн;</w:t>
      </w:r>
    </w:p>
    <w:p w:rsidR="008F46FF" w:rsidRPr="00E245B7" w:rsidRDefault="008F46FF" w:rsidP="00CB6CCA">
      <w:pPr>
        <w:shd w:val="clear" w:color="auto" w:fill="FFFFFF"/>
        <w:spacing w:after="0" w:line="240" w:lineRule="auto"/>
        <w:ind w:left="600"/>
        <w:jc w:val="both"/>
        <w:rPr>
          <w:rFonts w:ascii="Times New Roman" w:hAnsi="Times New Roman"/>
          <w:sz w:val="28"/>
          <w:szCs w:val="28"/>
          <w:lang w:val="uk-UA" w:eastAsia="ru-RU"/>
        </w:rPr>
      </w:pPr>
      <w:r w:rsidRPr="00E245B7">
        <w:rPr>
          <w:rFonts w:ascii="Times New Roman" w:hAnsi="Times New Roman"/>
          <w:sz w:val="28"/>
          <w:szCs w:val="28"/>
          <w:lang w:val="uk-UA" w:eastAsia="ru-RU"/>
        </w:rPr>
        <w:t>з 01 січня 2023 року - 7 176 грн;</w:t>
      </w:r>
    </w:p>
    <w:p w:rsidR="008F46FF" w:rsidRPr="00E245B7" w:rsidRDefault="008F46FF" w:rsidP="00CB6CCA">
      <w:pPr>
        <w:shd w:val="clear" w:color="auto" w:fill="FFFFFF"/>
        <w:spacing w:after="0" w:line="240" w:lineRule="auto"/>
        <w:ind w:left="600"/>
        <w:jc w:val="both"/>
        <w:rPr>
          <w:rFonts w:ascii="Times New Roman" w:hAnsi="Times New Roman"/>
          <w:sz w:val="28"/>
          <w:szCs w:val="28"/>
          <w:lang w:val="uk-UA" w:eastAsia="ru-RU"/>
        </w:rPr>
      </w:pPr>
      <w:r w:rsidRPr="00E245B7">
        <w:rPr>
          <w:rFonts w:ascii="Times New Roman" w:hAnsi="Times New Roman"/>
          <w:sz w:val="28"/>
          <w:szCs w:val="28"/>
          <w:lang w:val="uk-UA" w:eastAsia="ru-RU"/>
        </w:rPr>
        <w:t>з 01 січня 2024 року - 7 665 грн;</w:t>
      </w:r>
    </w:p>
    <w:p w:rsidR="008F46FF" w:rsidRPr="00E245B7" w:rsidRDefault="008F46FF" w:rsidP="00CB6CCA">
      <w:pPr>
        <w:shd w:val="clear" w:color="auto" w:fill="FFFFFF"/>
        <w:spacing w:after="0" w:line="240" w:lineRule="auto"/>
        <w:jc w:val="both"/>
        <w:rPr>
          <w:rFonts w:ascii="Times New Roman" w:hAnsi="Times New Roman"/>
          <w:sz w:val="28"/>
          <w:szCs w:val="28"/>
          <w:lang w:val="uk-UA" w:eastAsia="ru-RU"/>
        </w:rPr>
      </w:pPr>
      <w:r w:rsidRPr="00E245B7">
        <w:rPr>
          <w:rFonts w:ascii="Times New Roman" w:hAnsi="Times New Roman"/>
          <w:sz w:val="28"/>
          <w:szCs w:val="28"/>
          <w:lang w:val="uk-UA" w:eastAsia="ru-RU"/>
        </w:rPr>
        <w:t>розмір посадового окладу працівника І тарифного розряду Єдиної тарифної сітки:</w:t>
      </w:r>
    </w:p>
    <w:p w:rsidR="008F46FF" w:rsidRPr="00E245B7" w:rsidRDefault="008F46FF" w:rsidP="00CB6CCA">
      <w:pPr>
        <w:shd w:val="clear" w:color="auto" w:fill="FFFFFF"/>
        <w:spacing w:after="0" w:line="240" w:lineRule="auto"/>
        <w:ind w:left="600"/>
        <w:jc w:val="both"/>
        <w:rPr>
          <w:rFonts w:ascii="Times New Roman" w:hAnsi="Times New Roman"/>
          <w:sz w:val="28"/>
          <w:szCs w:val="28"/>
          <w:lang w:val="uk-UA" w:eastAsia="ru-RU"/>
        </w:rPr>
      </w:pPr>
      <w:r w:rsidRPr="00E245B7">
        <w:rPr>
          <w:rFonts w:ascii="Times New Roman" w:hAnsi="Times New Roman"/>
          <w:sz w:val="28"/>
          <w:szCs w:val="28"/>
          <w:lang w:val="uk-UA" w:eastAsia="ru-RU"/>
        </w:rPr>
        <w:t>з 01 січня 2022 року - 2 893 грн, з 01 жовтня 2022 року - 2 982 грн;</w:t>
      </w:r>
    </w:p>
    <w:p w:rsidR="008F46FF" w:rsidRPr="00E245B7" w:rsidRDefault="008F46FF" w:rsidP="00CB6CCA">
      <w:pPr>
        <w:shd w:val="clear" w:color="auto" w:fill="FFFFFF"/>
        <w:spacing w:after="0" w:line="240" w:lineRule="auto"/>
        <w:ind w:left="600"/>
        <w:jc w:val="both"/>
        <w:rPr>
          <w:rFonts w:ascii="Times New Roman" w:hAnsi="Times New Roman"/>
          <w:sz w:val="28"/>
          <w:szCs w:val="28"/>
          <w:lang w:val="uk-UA" w:eastAsia="ru-RU"/>
        </w:rPr>
      </w:pPr>
      <w:r w:rsidRPr="00E245B7">
        <w:rPr>
          <w:rFonts w:ascii="Times New Roman" w:hAnsi="Times New Roman"/>
          <w:sz w:val="28"/>
          <w:szCs w:val="28"/>
          <w:lang w:val="uk-UA" w:eastAsia="ru-RU"/>
        </w:rPr>
        <w:t>з 01 січня 2023 року - 3 193 грн;</w:t>
      </w:r>
    </w:p>
    <w:p w:rsidR="008F46FF" w:rsidRPr="00E245B7" w:rsidRDefault="008F46FF" w:rsidP="00CB6CCA">
      <w:pPr>
        <w:shd w:val="clear" w:color="auto" w:fill="FFFFFF"/>
        <w:spacing w:after="0" w:line="240" w:lineRule="auto"/>
        <w:ind w:left="600"/>
        <w:jc w:val="both"/>
        <w:rPr>
          <w:rFonts w:ascii="Times New Roman" w:hAnsi="Times New Roman"/>
          <w:sz w:val="28"/>
          <w:szCs w:val="28"/>
          <w:lang w:val="uk-UA" w:eastAsia="ru-RU"/>
        </w:rPr>
      </w:pPr>
      <w:r w:rsidRPr="00E245B7">
        <w:rPr>
          <w:rFonts w:ascii="Times New Roman" w:hAnsi="Times New Roman"/>
          <w:sz w:val="28"/>
          <w:szCs w:val="28"/>
          <w:lang w:val="uk-UA" w:eastAsia="ru-RU"/>
        </w:rPr>
        <w:t>з 01 січня 2024 року - 3 411 гривень.</w:t>
      </w:r>
    </w:p>
    <w:p w:rsidR="008F46FF" w:rsidRPr="00E245B7" w:rsidRDefault="008F46FF" w:rsidP="00E75D2F">
      <w:pPr>
        <w:shd w:val="clear" w:color="auto" w:fill="FFFFFF"/>
        <w:spacing w:after="0" w:line="240" w:lineRule="auto"/>
        <w:jc w:val="both"/>
        <w:rPr>
          <w:rFonts w:ascii="Times New Roman" w:hAnsi="Times New Roman"/>
          <w:sz w:val="28"/>
          <w:szCs w:val="28"/>
          <w:lang w:val="uk-UA" w:eastAsia="ru-RU"/>
        </w:rPr>
      </w:pPr>
      <w:r w:rsidRPr="00E245B7">
        <w:rPr>
          <w:rFonts w:ascii="Times New Roman" w:hAnsi="Times New Roman"/>
          <w:sz w:val="28"/>
          <w:szCs w:val="28"/>
          <w:lang w:val="uk-UA" w:eastAsia="ru-RU"/>
        </w:rPr>
        <w:t xml:space="preserve"> Прожитковий мінімум :</w:t>
      </w:r>
    </w:p>
    <w:tbl>
      <w:tblPr>
        <w:tblW w:w="93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A0" w:firstRow="1" w:lastRow="0" w:firstColumn="1" w:lastColumn="0" w:noHBand="0" w:noVBand="0"/>
      </w:tblPr>
      <w:tblGrid>
        <w:gridCol w:w="1775"/>
        <w:gridCol w:w="773"/>
        <w:gridCol w:w="856"/>
        <w:gridCol w:w="940"/>
        <w:gridCol w:w="780"/>
        <w:gridCol w:w="856"/>
        <w:gridCol w:w="940"/>
        <w:gridCol w:w="773"/>
        <w:gridCol w:w="856"/>
        <w:gridCol w:w="940"/>
      </w:tblGrid>
      <w:tr w:rsidR="008F46FF" w:rsidRPr="00E245B7" w:rsidTr="000273DF">
        <w:trPr>
          <w:trHeight w:val="322"/>
        </w:trPr>
        <w:tc>
          <w:tcPr>
            <w:tcW w:w="0" w:type="auto"/>
            <w:vMerge w:val="restar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t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b/>
                <w:bCs/>
                <w:sz w:val="24"/>
                <w:szCs w:val="24"/>
                <w:lang w:val="uk-UA" w:eastAsia="ru-RU"/>
              </w:rPr>
              <w:t>2022 рік</w:t>
            </w:r>
          </w:p>
        </w:t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b/>
                <w:bCs/>
                <w:sz w:val="24"/>
                <w:szCs w:val="24"/>
                <w:lang w:val="uk-UA" w:eastAsia="ru-RU"/>
              </w:rPr>
              <w:t>2023 рік</w:t>
            </w:r>
          </w:p>
        </w:t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b/>
                <w:bCs/>
                <w:sz w:val="24"/>
                <w:szCs w:val="24"/>
                <w:lang w:val="uk-UA" w:eastAsia="ru-RU"/>
              </w:rPr>
              <w:t>2024 рік</w:t>
            </w:r>
          </w:p>
        </w:tc>
      </w:tr>
      <w:tr w:rsidR="008F46FF" w:rsidRPr="00E245B7" w:rsidTr="000273DF">
        <w:trPr>
          <w:trHeight w:val="647"/>
        </w:trPr>
        <w:tc>
          <w:tcPr>
            <w:tcW w:w="0" w:type="auto"/>
            <w:vMerge/>
            <w:tcBorders>
              <w:top w:val="outset" w:sz="6" w:space="0" w:color="auto"/>
              <w:left w:val="outset" w:sz="6" w:space="0" w:color="auto"/>
              <w:bottom w:val="outset" w:sz="6" w:space="0" w:color="auto"/>
              <w:right w:val="outset" w:sz="6" w:space="0" w:color="auto"/>
            </w:tcBorders>
            <w:vAlign w:val="center"/>
          </w:tcPr>
          <w:p w:rsidR="008F46FF" w:rsidRPr="00E245B7" w:rsidRDefault="008F46FF" w:rsidP="00EC7B22">
            <w:pPr>
              <w:spacing w:after="0"/>
              <w:rPr>
                <w:rFonts w:ascii="Times New Roman" w:hAnsi="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з січня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з липня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з грудня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з січня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з липня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з грудня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з січня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з липня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з грудня</w:t>
            </w:r>
          </w:p>
        </w:tc>
      </w:tr>
      <w:tr w:rsidR="008F46FF" w:rsidRPr="00E245B7" w:rsidTr="000273DF">
        <w:trPr>
          <w:trHeight w:val="803"/>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Прожитковий мінімум, грн:</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на 1 особу</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2393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2508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2589</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2589</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2713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2778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2778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2911</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2972</w:t>
            </w:r>
          </w:p>
        </w:tc>
      </w:tr>
      <w:tr w:rsidR="008F46FF" w:rsidRPr="00E245B7" w:rsidTr="000273DF">
        <w:trPr>
          <w:trHeight w:val="845"/>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для дітей віком до 6 років</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2100</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2201</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2272</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2272</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2381</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2438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2438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2555</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2609</w:t>
            </w:r>
          </w:p>
        </w:tc>
      </w:tr>
      <w:tr w:rsidR="008F46FF" w:rsidRPr="00E245B7" w:rsidTr="000273DF">
        <w:trPr>
          <w:trHeight w:val="929"/>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для дітей віком від 6 до 18 років</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2618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2744</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2833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2833 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2969</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3040</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3040</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3186</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3253</w:t>
            </w:r>
          </w:p>
        </w:tc>
      </w:tr>
      <w:tr w:rsidR="008F46FF" w:rsidRPr="00E245B7" w:rsidTr="000273DF">
        <w:trPr>
          <w:trHeight w:val="943"/>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для працездатних осіб</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2481</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2600</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2684</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2684</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2813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2880</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2880</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3018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3082</w:t>
            </w:r>
          </w:p>
        </w:tc>
      </w:tr>
      <w:tr w:rsidR="008F46FF" w:rsidRPr="00E245B7" w:rsidTr="000273DF">
        <w:trPr>
          <w:trHeight w:val="499"/>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для осіб, які втратили працездатність</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1934</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2027</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2093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2093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2193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2246</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2246</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2354</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 </w:t>
            </w:r>
          </w:p>
          <w:p w:rsidR="008F46FF" w:rsidRPr="00E245B7" w:rsidRDefault="008F46FF" w:rsidP="00EC7B22">
            <w:pPr>
              <w:spacing w:after="0"/>
              <w:jc w:val="center"/>
              <w:rPr>
                <w:rFonts w:ascii="Times New Roman" w:hAnsi="Times New Roman"/>
                <w:sz w:val="24"/>
                <w:szCs w:val="24"/>
                <w:lang w:val="uk-UA" w:eastAsia="ru-RU"/>
              </w:rPr>
            </w:pPr>
            <w:r w:rsidRPr="00E245B7">
              <w:rPr>
                <w:rFonts w:ascii="Times New Roman" w:hAnsi="Times New Roman"/>
                <w:sz w:val="24"/>
                <w:szCs w:val="24"/>
                <w:lang w:val="uk-UA" w:eastAsia="ru-RU"/>
              </w:rPr>
              <w:t>2403</w:t>
            </w:r>
          </w:p>
        </w:tc>
      </w:tr>
    </w:tbl>
    <w:p w:rsidR="008F46FF" w:rsidRPr="00E245B7" w:rsidRDefault="008F46FF" w:rsidP="005F27B9">
      <w:pPr>
        <w:shd w:val="clear" w:color="auto" w:fill="FFFFFF"/>
        <w:spacing w:after="0"/>
        <w:ind w:firstLine="708"/>
        <w:jc w:val="both"/>
        <w:rPr>
          <w:rFonts w:ascii="Times New Roman" w:hAnsi="Times New Roman"/>
          <w:sz w:val="28"/>
          <w:szCs w:val="28"/>
          <w:lang w:val="uk-UA" w:eastAsia="ru-RU"/>
        </w:rPr>
      </w:pPr>
      <w:r w:rsidRPr="00E245B7">
        <w:rPr>
          <w:rFonts w:ascii="Times New Roman" w:hAnsi="Times New Roman"/>
          <w:sz w:val="28"/>
          <w:szCs w:val="28"/>
          <w:lang w:val="uk-UA" w:eastAsia="ru-RU"/>
        </w:rPr>
        <w:t>Політика району, як і державна, у 2022 – 2024 роках буде спрямована на:</w:t>
      </w:r>
    </w:p>
    <w:p w:rsidR="008F46FF" w:rsidRPr="00E245B7" w:rsidRDefault="008F46FF" w:rsidP="00EC7B22">
      <w:pPr>
        <w:shd w:val="clear" w:color="auto" w:fill="FFFFFF"/>
        <w:spacing w:after="0"/>
        <w:jc w:val="both"/>
        <w:rPr>
          <w:rFonts w:ascii="Times New Roman" w:hAnsi="Times New Roman"/>
          <w:sz w:val="28"/>
          <w:szCs w:val="28"/>
          <w:lang w:val="uk-UA" w:eastAsia="ru-RU"/>
        </w:rPr>
      </w:pPr>
      <w:r w:rsidRPr="00E245B7">
        <w:rPr>
          <w:rFonts w:ascii="Times New Roman" w:hAnsi="Times New Roman"/>
          <w:sz w:val="28"/>
          <w:szCs w:val="28"/>
          <w:lang w:val="uk-UA" w:eastAsia="ru-RU"/>
        </w:rPr>
        <w:t>- подальший розвиток середньострокового бюджетного планування на місцевому рівні;</w:t>
      </w:r>
    </w:p>
    <w:p w:rsidR="008F46FF" w:rsidRPr="00E245B7" w:rsidRDefault="008F46FF" w:rsidP="00EC7B22">
      <w:pPr>
        <w:shd w:val="clear" w:color="auto" w:fill="FFFFFF"/>
        <w:spacing w:after="0"/>
        <w:jc w:val="both"/>
        <w:rPr>
          <w:rFonts w:ascii="Times New Roman" w:hAnsi="Times New Roman"/>
          <w:sz w:val="28"/>
          <w:szCs w:val="28"/>
          <w:lang w:val="uk-UA" w:eastAsia="ru-RU"/>
        </w:rPr>
      </w:pPr>
      <w:r w:rsidRPr="00E245B7">
        <w:rPr>
          <w:rFonts w:ascii="Times New Roman" w:hAnsi="Times New Roman"/>
          <w:sz w:val="28"/>
          <w:szCs w:val="28"/>
          <w:lang w:val="uk-UA" w:eastAsia="ru-RU"/>
        </w:rPr>
        <w:lastRenderedPageBreak/>
        <w:t>- удосконалення міжбюджетного регулювання;</w:t>
      </w:r>
    </w:p>
    <w:p w:rsidR="008F46FF" w:rsidRPr="00E245B7" w:rsidRDefault="008F46FF" w:rsidP="00EC7B22">
      <w:pPr>
        <w:shd w:val="clear" w:color="auto" w:fill="FFFFFF"/>
        <w:spacing w:after="0"/>
        <w:jc w:val="both"/>
        <w:rPr>
          <w:rFonts w:ascii="Times New Roman" w:hAnsi="Times New Roman"/>
          <w:sz w:val="28"/>
          <w:szCs w:val="28"/>
          <w:lang w:val="uk-UA" w:eastAsia="ru-RU"/>
        </w:rPr>
      </w:pPr>
      <w:r w:rsidRPr="00E245B7">
        <w:rPr>
          <w:rFonts w:ascii="Times New Roman" w:hAnsi="Times New Roman"/>
          <w:sz w:val="28"/>
          <w:szCs w:val="28"/>
          <w:lang w:val="uk-UA" w:eastAsia="ru-RU"/>
        </w:rPr>
        <w:t>- збереження дворівневої системи міжбюджетних відносин;</w:t>
      </w:r>
    </w:p>
    <w:p w:rsidR="008F46FF" w:rsidRPr="00E245B7" w:rsidRDefault="008F46FF" w:rsidP="00EC7B22">
      <w:pPr>
        <w:shd w:val="clear" w:color="auto" w:fill="FFFFFF"/>
        <w:spacing w:after="0"/>
        <w:jc w:val="both"/>
        <w:rPr>
          <w:rFonts w:ascii="Times New Roman" w:hAnsi="Times New Roman"/>
          <w:sz w:val="28"/>
          <w:szCs w:val="28"/>
          <w:lang w:val="uk-UA" w:eastAsia="ru-RU"/>
        </w:rPr>
      </w:pPr>
      <w:r w:rsidRPr="00E245B7">
        <w:rPr>
          <w:rFonts w:ascii="Times New Roman" w:hAnsi="Times New Roman"/>
          <w:sz w:val="28"/>
          <w:szCs w:val="28"/>
          <w:lang w:val="uk-UA" w:eastAsia="ru-RU"/>
        </w:rPr>
        <w:t>- зміцнення фінансової спроможності місцевих бюджетів;</w:t>
      </w:r>
    </w:p>
    <w:p w:rsidR="008F46FF" w:rsidRPr="00E245B7" w:rsidRDefault="008F46FF" w:rsidP="00EC7B22">
      <w:pPr>
        <w:shd w:val="clear" w:color="auto" w:fill="FFFFFF"/>
        <w:spacing w:after="0"/>
        <w:jc w:val="both"/>
        <w:rPr>
          <w:rFonts w:ascii="Times New Roman" w:hAnsi="Times New Roman"/>
          <w:sz w:val="28"/>
          <w:szCs w:val="28"/>
          <w:lang w:val="uk-UA" w:eastAsia="ru-RU"/>
        </w:rPr>
      </w:pPr>
      <w:r w:rsidRPr="00E245B7">
        <w:rPr>
          <w:rFonts w:ascii="Times New Roman" w:hAnsi="Times New Roman"/>
          <w:sz w:val="28"/>
          <w:szCs w:val="28"/>
          <w:lang w:val="uk-UA" w:eastAsia="ru-RU"/>
        </w:rPr>
        <w:t>-підвищення прозорості  та  результативності використання бюджетних ресурсів.</w:t>
      </w:r>
    </w:p>
    <w:p w:rsidR="008F46FF" w:rsidRPr="00E245B7" w:rsidRDefault="008F46FF" w:rsidP="00EC7B22">
      <w:pPr>
        <w:spacing w:after="0"/>
        <w:ind w:firstLine="720"/>
        <w:jc w:val="both"/>
        <w:rPr>
          <w:rFonts w:ascii="Times New Roman" w:hAnsi="Times New Roman"/>
          <w:sz w:val="28"/>
          <w:szCs w:val="28"/>
          <w:lang w:val="uk-UA"/>
        </w:rPr>
      </w:pPr>
      <w:r w:rsidRPr="00E245B7">
        <w:rPr>
          <w:rFonts w:ascii="Times New Roman" w:hAnsi="Times New Roman"/>
          <w:sz w:val="28"/>
          <w:szCs w:val="28"/>
          <w:lang w:val="uk-UA"/>
        </w:rPr>
        <w:t>Прогноз районного бюджету включає в себе індикативні прогнозні показники економічного і соціального розвитку Рівненського району за основними видами доходів, фінансування, видатків, повноважень, які закріплені бюджетно-податковим законодавством.</w:t>
      </w:r>
    </w:p>
    <w:p w:rsidR="008F46FF" w:rsidRPr="00E245B7" w:rsidRDefault="008F46FF" w:rsidP="00EC7B22">
      <w:pPr>
        <w:spacing w:after="0"/>
        <w:ind w:firstLine="540"/>
        <w:jc w:val="both"/>
        <w:rPr>
          <w:rFonts w:ascii="Times New Roman" w:hAnsi="Times New Roman"/>
          <w:sz w:val="28"/>
          <w:szCs w:val="28"/>
          <w:lang w:val="uk-UA"/>
        </w:rPr>
      </w:pPr>
      <w:r w:rsidRPr="00E245B7">
        <w:rPr>
          <w:rFonts w:ascii="Times New Roman" w:hAnsi="Times New Roman"/>
          <w:sz w:val="28"/>
          <w:szCs w:val="28"/>
          <w:lang w:val="uk-UA"/>
        </w:rPr>
        <w:t xml:space="preserve">  На середньострокову перспективу основними завданнями районного бюджету є:</w:t>
      </w:r>
    </w:p>
    <w:p w:rsidR="008F46FF" w:rsidRPr="00E245B7" w:rsidRDefault="008F46FF" w:rsidP="00EC7B22">
      <w:pPr>
        <w:numPr>
          <w:ilvl w:val="0"/>
          <w:numId w:val="2"/>
        </w:numPr>
        <w:tabs>
          <w:tab w:val="clear" w:pos="1305"/>
          <w:tab w:val="num" w:pos="0"/>
        </w:tabs>
        <w:spacing w:after="0"/>
        <w:ind w:left="0" w:firstLine="540"/>
        <w:jc w:val="both"/>
        <w:rPr>
          <w:rFonts w:ascii="Times New Roman" w:hAnsi="Times New Roman"/>
          <w:sz w:val="28"/>
          <w:szCs w:val="28"/>
          <w:lang w:val="uk-UA"/>
        </w:rPr>
      </w:pPr>
      <w:r w:rsidRPr="00E245B7">
        <w:rPr>
          <w:rFonts w:ascii="Times New Roman" w:hAnsi="Times New Roman"/>
          <w:sz w:val="28"/>
          <w:szCs w:val="28"/>
          <w:lang w:val="uk-UA"/>
        </w:rPr>
        <w:t>підвищення ефективності управління бюджетними коштами шляхом застосування дієвих методів економії бюджетних коштів;</w:t>
      </w:r>
    </w:p>
    <w:p w:rsidR="008F46FF" w:rsidRPr="00E245B7" w:rsidRDefault="008F46FF" w:rsidP="00EC7B22">
      <w:pPr>
        <w:numPr>
          <w:ilvl w:val="0"/>
          <w:numId w:val="2"/>
        </w:numPr>
        <w:tabs>
          <w:tab w:val="clear" w:pos="1305"/>
          <w:tab w:val="num" w:pos="0"/>
        </w:tabs>
        <w:spacing w:after="0"/>
        <w:ind w:left="0" w:firstLine="540"/>
        <w:jc w:val="both"/>
        <w:rPr>
          <w:rFonts w:ascii="Times New Roman" w:hAnsi="Times New Roman"/>
          <w:sz w:val="28"/>
          <w:szCs w:val="28"/>
          <w:lang w:val="uk-UA"/>
        </w:rPr>
      </w:pPr>
      <w:r w:rsidRPr="00E245B7">
        <w:rPr>
          <w:rFonts w:ascii="Times New Roman" w:hAnsi="Times New Roman"/>
          <w:sz w:val="28"/>
          <w:szCs w:val="28"/>
          <w:lang w:val="uk-UA"/>
        </w:rPr>
        <w:t xml:space="preserve">активізація фінансового потенціалу, нарощування джерел та бази надходжень до районного бюджету;                                                                                 </w:t>
      </w:r>
    </w:p>
    <w:p w:rsidR="008F46FF" w:rsidRPr="00E245B7" w:rsidRDefault="008F46FF" w:rsidP="00EC7B22">
      <w:pPr>
        <w:numPr>
          <w:ilvl w:val="0"/>
          <w:numId w:val="2"/>
        </w:numPr>
        <w:tabs>
          <w:tab w:val="clear" w:pos="1305"/>
          <w:tab w:val="num" w:pos="0"/>
        </w:tabs>
        <w:spacing w:after="0"/>
        <w:ind w:left="0" w:firstLine="540"/>
        <w:jc w:val="both"/>
        <w:rPr>
          <w:rFonts w:ascii="Times New Roman" w:hAnsi="Times New Roman"/>
          <w:sz w:val="28"/>
          <w:szCs w:val="28"/>
          <w:lang w:val="uk-UA"/>
        </w:rPr>
      </w:pPr>
      <w:r w:rsidRPr="00E245B7">
        <w:rPr>
          <w:rFonts w:ascii="Times New Roman" w:hAnsi="Times New Roman"/>
          <w:sz w:val="28"/>
          <w:szCs w:val="28"/>
          <w:lang w:val="uk-UA"/>
        </w:rPr>
        <w:t>забезпечення стабільного розвитку району, економічного зростання та виконання заходів, передбачених місцевими бюджетними програмами;</w:t>
      </w:r>
    </w:p>
    <w:p w:rsidR="008F46FF" w:rsidRPr="00E245B7" w:rsidRDefault="008F46FF" w:rsidP="00EC7B22">
      <w:pPr>
        <w:numPr>
          <w:ilvl w:val="0"/>
          <w:numId w:val="2"/>
        </w:numPr>
        <w:tabs>
          <w:tab w:val="clear" w:pos="1305"/>
          <w:tab w:val="num" w:pos="0"/>
        </w:tabs>
        <w:spacing w:after="0"/>
        <w:ind w:left="0" w:firstLine="540"/>
        <w:jc w:val="both"/>
        <w:rPr>
          <w:rFonts w:ascii="Times New Roman" w:hAnsi="Times New Roman"/>
          <w:sz w:val="28"/>
          <w:szCs w:val="28"/>
          <w:lang w:val="uk-UA"/>
        </w:rPr>
      </w:pPr>
      <w:r w:rsidRPr="00E245B7">
        <w:rPr>
          <w:rFonts w:ascii="Times New Roman" w:hAnsi="Times New Roman"/>
          <w:sz w:val="28"/>
          <w:szCs w:val="28"/>
          <w:lang w:val="uk-UA"/>
        </w:rPr>
        <w:t xml:space="preserve">посилення бюджетної дисципліни та контролю за витратами бюджету.   </w:t>
      </w:r>
    </w:p>
    <w:p w:rsidR="008F46FF" w:rsidRPr="00E245B7" w:rsidRDefault="008F46FF" w:rsidP="009D246E">
      <w:pPr>
        <w:spacing w:after="0"/>
        <w:jc w:val="both"/>
        <w:rPr>
          <w:rFonts w:ascii="Times New Roman" w:hAnsi="Times New Roman"/>
          <w:sz w:val="28"/>
          <w:szCs w:val="28"/>
          <w:lang w:val="uk-UA"/>
        </w:rPr>
      </w:pPr>
    </w:p>
    <w:tbl>
      <w:tblPr>
        <w:tblW w:w="0" w:type="auto"/>
        <w:tblLayout w:type="fixed"/>
        <w:tblLook w:val="0000" w:firstRow="0" w:lastRow="0" w:firstColumn="0" w:lastColumn="0" w:noHBand="0" w:noVBand="0"/>
      </w:tblPr>
      <w:tblGrid>
        <w:gridCol w:w="2676"/>
        <w:gridCol w:w="1499"/>
        <w:gridCol w:w="1302"/>
        <w:gridCol w:w="1459"/>
        <w:gridCol w:w="1459"/>
        <w:gridCol w:w="1253"/>
      </w:tblGrid>
      <w:tr w:rsidR="008F46FF" w:rsidRPr="00E245B7" w:rsidTr="005F27B9">
        <w:trPr>
          <w:trHeight w:val="322"/>
        </w:trPr>
        <w:tc>
          <w:tcPr>
            <w:tcW w:w="9648" w:type="dxa"/>
            <w:gridSpan w:val="6"/>
            <w:vMerge w:val="restart"/>
            <w:tcBorders>
              <w:top w:val="nil"/>
              <w:left w:val="nil"/>
              <w:bottom w:val="nil"/>
              <w:right w:val="nil"/>
            </w:tcBorders>
            <w:noWrap/>
            <w:vAlign w:val="bottom"/>
          </w:tcPr>
          <w:p w:rsidR="008F46FF" w:rsidRPr="00E245B7" w:rsidRDefault="008F46FF" w:rsidP="009D246E">
            <w:pPr>
              <w:spacing w:after="0" w:line="240" w:lineRule="auto"/>
              <w:jc w:val="center"/>
              <w:rPr>
                <w:rFonts w:ascii="Times New Roman" w:hAnsi="Times New Roman"/>
                <w:color w:val="000000"/>
                <w:sz w:val="28"/>
                <w:szCs w:val="28"/>
                <w:lang w:val="uk-UA" w:eastAsia="uk-UA"/>
              </w:rPr>
            </w:pPr>
            <w:r w:rsidRPr="00E245B7">
              <w:rPr>
                <w:rFonts w:ascii="Times New Roman" w:hAnsi="Times New Roman"/>
                <w:color w:val="000000"/>
                <w:sz w:val="28"/>
                <w:szCs w:val="28"/>
                <w:lang w:val="uk-UA" w:eastAsia="uk-UA"/>
              </w:rPr>
              <w:t>Інформація щодо прогнозованої  чисельності населення Рівненського району (на основі статистичних даних)</w:t>
            </w:r>
          </w:p>
          <w:p w:rsidR="008F46FF" w:rsidRPr="00E245B7" w:rsidRDefault="008F46FF" w:rsidP="009D246E">
            <w:pPr>
              <w:spacing w:after="0" w:line="240" w:lineRule="auto"/>
              <w:jc w:val="center"/>
              <w:rPr>
                <w:rFonts w:ascii="Times New Roman" w:hAnsi="Times New Roman"/>
                <w:color w:val="000000"/>
                <w:sz w:val="28"/>
                <w:szCs w:val="28"/>
                <w:lang w:val="uk-UA" w:eastAsia="uk-UA"/>
              </w:rPr>
            </w:pPr>
          </w:p>
        </w:tc>
      </w:tr>
      <w:tr w:rsidR="008F46FF" w:rsidRPr="00E245B7" w:rsidTr="005F27B9">
        <w:trPr>
          <w:trHeight w:val="322"/>
        </w:trPr>
        <w:tc>
          <w:tcPr>
            <w:tcW w:w="9648" w:type="dxa"/>
            <w:gridSpan w:val="6"/>
            <w:vMerge/>
            <w:tcBorders>
              <w:top w:val="nil"/>
              <w:left w:val="nil"/>
              <w:bottom w:val="nil"/>
              <w:right w:val="nil"/>
            </w:tcBorders>
            <w:vAlign w:val="center"/>
          </w:tcPr>
          <w:p w:rsidR="008F46FF" w:rsidRPr="00E245B7" w:rsidRDefault="008F46FF" w:rsidP="009D246E">
            <w:pPr>
              <w:spacing w:after="0" w:line="240" w:lineRule="auto"/>
              <w:rPr>
                <w:rFonts w:ascii="Times New Roman" w:hAnsi="Times New Roman"/>
                <w:color w:val="000000"/>
                <w:sz w:val="28"/>
                <w:szCs w:val="28"/>
                <w:lang w:val="uk-UA" w:eastAsia="uk-UA"/>
              </w:rPr>
            </w:pPr>
          </w:p>
        </w:tc>
      </w:tr>
      <w:tr w:rsidR="008F46FF" w:rsidRPr="00E245B7" w:rsidTr="005F27B9">
        <w:trPr>
          <w:trHeight w:val="750"/>
        </w:trPr>
        <w:tc>
          <w:tcPr>
            <w:tcW w:w="2676" w:type="dxa"/>
            <w:tcBorders>
              <w:top w:val="single" w:sz="4" w:space="0" w:color="auto"/>
              <w:left w:val="single" w:sz="4" w:space="0" w:color="auto"/>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b/>
                <w:bCs/>
                <w:color w:val="000000"/>
                <w:lang w:val="uk-UA" w:eastAsia="uk-UA"/>
              </w:rPr>
            </w:pPr>
            <w:r w:rsidRPr="00E245B7">
              <w:rPr>
                <w:rFonts w:ascii="Times New Roman" w:hAnsi="Times New Roman"/>
                <w:b/>
                <w:bCs/>
                <w:color w:val="000000"/>
                <w:lang w:val="uk-UA" w:eastAsia="uk-UA"/>
              </w:rPr>
              <w:t>Показники</w:t>
            </w:r>
          </w:p>
        </w:tc>
        <w:tc>
          <w:tcPr>
            <w:tcW w:w="1499" w:type="dxa"/>
            <w:tcBorders>
              <w:top w:val="single" w:sz="4" w:space="0" w:color="auto"/>
              <w:left w:val="nil"/>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b/>
                <w:bCs/>
                <w:color w:val="000000"/>
                <w:lang w:val="uk-UA" w:eastAsia="uk-UA"/>
              </w:rPr>
            </w:pPr>
            <w:r w:rsidRPr="00E245B7">
              <w:rPr>
                <w:rFonts w:ascii="Times New Roman" w:hAnsi="Times New Roman"/>
                <w:b/>
                <w:bCs/>
                <w:color w:val="000000"/>
                <w:lang w:val="uk-UA" w:eastAsia="uk-UA"/>
              </w:rPr>
              <w:t>Період</w:t>
            </w:r>
          </w:p>
        </w:tc>
        <w:tc>
          <w:tcPr>
            <w:tcW w:w="1302" w:type="dxa"/>
            <w:tcBorders>
              <w:top w:val="single" w:sz="4" w:space="0" w:color="auto"/>
              <w:left w:val="nil"/>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b/>
                <w:bCs/>
                <w:color w:val="000000"/>
                <w:lang w:val="uk-UA" w:eastAsia="uk-UA"/>
              </w:rPr>
            </w:pPr>
            <w:r w:rsidRPr="00E245B7">
              <w:rPr>
                <w:rFonts w:ascii="Times New Roman" w:hAnsi="Times New Roman"/>
                <w:b/>
                <w:bCs/>
                <w:color w:val="000000"/>
                <w:lang w:val="uk-UA" w:eastAsia="uk-UA"/>
              </w:rPr>
              <w:t>Значення</w:t>
            </w:r>
          </w:p>
        </w:tc>
        <w:tc>
          <w:tcPr>
            <w:tcW w:w="1459" w:type="dxa"/>
            <w:tcBorders>
              <w:top w:val="single" w:sz="4" w:space="0" w:color="auto"/>
              <w:left w:val="nil"/>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b/>
                <w:bCs/>
                <w:color w:val="000000"/>
                <w:lang w:val="uk-UA" w:eastAsia="uk-UA"/>
              </w:rPr>
            </w:pPr>
            <w:r w:rsidRPr="00E245B7">
              <w:rPr>
                <w:rFonts w:ascii="Times New Roman" w:hAnsi="Times New Roman"/>
                <w:b/>
                <w:bCs/>
                <w:color w:val="000000"/>
                <w:lang w:val="uk-UA" w:eastAsia="uk-UA"/>
              </w:rPr>
              <w:t>2022 (прогноз)</w:t>
            </w:r>
          </w:p>
        </w:tc>
        <w:tc>
          <w:tcPr>
            <w:tcW w:w="1459" w:type="dxa"/>
            <w:tcBorders>
              <w:top w:val="single" w:sz="4" w:space="0" w:color="auto"/>
              <w:left w:val="nil"/>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b/>
                <w:bCs/>
                <w:color w:val="000000"/>
                <w:lang w:val="uk-UA" w:eastAsia="uk-UA"/>
              </w:rPr>
            </w:pPr>
            <w:r w:rsidRPr="00E245B7">
              <w:rPr>
                <w:rFonts w:ascii="Times New Roman" w:hAnsi="Times New Roman"/>
                <w:b/>
                <w:bCs/>
                <w:color w:val="000000"/>
                <w:lang w:val="uk-UA" w:eastAsia="uk-UA"/>
              </w:rPr>
              <w:t>2023 (прогноз)</w:t>
            </w:r>
          </w:p>
        </w:tc>
        <w:tc>
          <w:tcPr>
            <w:tcW w:w="1253" w:type="dxa"/>
            <w:tcBorders>
              <w:top w:val="single" w:sz="4" w:space="0" w:color="auto"/>
              <w:left w:val="nil"/>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b/>
                <w:bCs/>
                <w:color w:val="000000"/>
                <w:lang w:val="uk-UA" w:eastAsia="uk-UA"/>
              </w:rPr>
            </w:pPr>
            <w:r w:rsidRPr="00E245B7">
              <w:rPr>
                <w:rFonts w:ascii="Times New Roman" w:hAnsi="Times New Roman"/>
                <w:b/>
                <w:bCs/>
                <w:color w:val="000000"/>
                <w:lang w:val="uk-UA" w:eastAsia="uk-UA"/>
              </w:rPr>
              <w:t>2024 (прогноз)</w:t>
            </w:r>
          </w:p>
        </w:tc>
      </w:tr>
      <w:tr w:rsidR="008F46FF" w:rsidRPr="00E245B7" w:rsidTr="005F27B9">
        <w:trPr>
          <w:trHeight w:val="900"/>
        </w:trPr>
        <w:tc>
          <w:tcPr>
            <w:tcW w:w="2676" w:type="dxa"/>
            <w:tcBorders>
              <w:top w:val="nil"/>
              <w:left w:val="single" w:sz="4" w:space="0" w:color="auto"/>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Чисельність наявного населення, осіб</w:t>
            </w:r>
          </w:p>
        </w:tc>
        <w:tc>
          <w:tcPr>
            <w:tcW w:w="1499" w:type="dxa"/>
            <w:tcBorders>
              <w:top w:val="nil"/>
              <w:left w:val="nil"/>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на 01.05.2021</w:t>
            </w:r>
          </w:p>
        </w:tc>
        <w:tc>
          <w:tcPr>
            <w:tcW w:w="1302" w:type="dxa"/>
            <w:tcBorders>
              <w:top w:val="nil"/>
              <w:left w:val="nil"/>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628060</w:t>
            </w:r>
          </w:p>
        </w:tc>
        <w:tc>
          <w:tcPr>
            <w:tcW w:w="1459" w:type="dxa"/>
            <w:tcBorders>
              <w:top w:val="nil"/>
              <w:left w:val="single" w:sz="4" w:space="0" w:color="auto"/>
              <w:bottom w:val="single" w:sz="4" w:space="0" w:color="auto"/>
              <w:right w:val="single" w:sz="4" w:space="0" w:color="auto"/>
            </w:tcBorders>
            <w:shd w:val="clear" w:color="auto" w:fill="FFFFFF"/>
            <w:noWrap/>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631200</w:t>
            </w:r>
          </w:p>
        </w:tc>
        <w:tc>
          <w:tcPr>
            <w:tcW w:w="1459"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634341</w:t>
            </w:r>
          </w:p>
        </w:tc>
        <w:tc>
          <w:tcPr>
            <w:tcW w:w="125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631514</w:t>
            </w:r>
          </w:p>
        </w:tc>
      </w:tr>
      <w:tr w:rsidR="008F46FF" w:rsidRPr="00E245B7" w:rsidTr="005F27B9">
        <w:trPr>
          <w:trHeight w:val="960"/>
        </w:trPr>
        <w:tc>
          <w:tcPr>
            <w:tcW w:w="2676" w:type="dxa"/>
            <w:tcBorders>
              <w:top w:val="single" w:sz="4" w:space="0" w:color="auto"/>
              <w:left w:val="single" w:sz="4" w:space="0" w:color="auto"/>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Середньооблікова кількість штатних працівників</w:t>
            </w:r>
            <w:r w:rsidRPr="00E245B7">
              <w:rPr>
                <w:rFonts w:ascii="Times New Roman" w:hAnsi="Times New Roman"/>
                <w:color w:val="000000"/>
                <w:vertAlign w:val="superscript"/>
                <w:lang w:val="uk-UA" w:eastAsia="uk-UA"/>
              </w:rPr>
              <w:t>3</w:t>
            </w:r>
            <w:r w:rsidRPr="00E245B7">
              <w:rPr>
                <w:rFonts w:ascii="Times New Roman" w:hAnsi="Times New Roman"/>
                <w:color w:val="000000"/>
                <w:lang w:val="uk-UA" w:eastAsia="uk-UA"/>
              </w:rPr>
              <w:t>, осіб</w:t>
            </w:r>
          </w:p>
        </w:tc>
        <w:tc>
          <w:tcPr>
            <w:tcW w:w="1499" w:type="dxa"/>
            <w:tcBorders>
              <w:top w:val="single" w:sz="4" w:space="0" w:color="auto"/>
              <w:left w:val="nil"/>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I квартал 2021р.</w:t>
            </w:r>
          </w:p>
        </w:tc>
        <w:tc>
          <w:tcPr>
            <w:tcW w:w="1302" w:type="dxa"/>
            <w:tcBorders>
              <w:top w:val="single" w:sz="4" w:space="0" w:color="auto"/>
              <w:left w:val="nil"/>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101423</w:t>
            </w:r>
          </w:p>
        </w:tc>
        <w:tc>
          <w:tcPr>
            <w:tcW w:w="1459" w:type="dxa"/>
            <w:tcBorders>
              <w:top w:val="nil"/>
              <w:left w:val="single" w:sz="4" w:space="0" w:color="auto"/>
              <w:bottom w:val="single" w:sz="4" w:space="0" w:color="auto"/>
              <w:right w:val="single" w:sz="4" w:space="0" w:color="auto"/>
            </w:tcBorders>
            <w:shd w:val="clear" w:color="auto" w:fill="FFFFFF"/>
            <w:noWrap/>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101930</w:t>
            </w:r>
          </w:p>
        </w:tc>
        <w:tc>
          <w:tcPr>
            <w:tcW w:w="1459"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102437</w:t>
            </w:r>
          </w:p>
        </w:tc>
        <w:tc>
          <w:tcPr>
            <w:tcW w:w="125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101981</w:t>
            </w:r>
          </w:p>
        </w:tc>
      </w:tr>
      <w:tr w:rsidR="008F46FF" w:rsidRPr="00E245B7" w:rsidTr="005F27B9">
        <w:trPr>
          <w:trHeight w:val="1260"/>
        </w:trPr>
        <w:tc>
          <w:tcPr>
            <w:tcW w:w="2676" w:type="dxa"/>
            <w:tcBorders>
              <w:top w:val="single" w:sz="4" w:space="0" w:color="auto"/>
              <w:left w:val="single" w:sz="4" w:space="0" w:color="auto"/>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Середньомісячна заробітна плата штатних працівників, грн</w:t>
            </w:r>
          </w:p>
        </w:tc>
        <w:tc>
          <w:tcPr>
            <w:tcW w:w="1499" w:type="dxa"/>
            <w:tcBorders>
              <w:top w:val="single" w:sz="4" w:space="0" w:color="auto"/>
              <w:left w:val="nil"/>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I квартал 2021р.</w:t>
            </w:r>
          </w:p>
        </w:tc>
        <w:tc>
          <w:tcPr>
            <w:tcW w:w="1302" w:type="dxa"/>
            <w:tcBorders>
              <w:top w:val="single" w:sz="4" w:space="0" w:color="auto"/>
              <w:left w:val="nil"/>
              <w:bottom w:val="single" w:sz="4" w:space="0" w:color="auto"/>
              <w:right w:val="single" w:sz="4" w:space="0" w:color="auto"/>
            </w:tcBorders>
            <w:shd w:val="clear" w:color="auto" w:fill="FFFFFF"/>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10382</w:t>
            </w:r>
          </w:p>
        </w:tc>
        <w:tc>
          <w:tcPr>
            <w:tcW w:w="1459" w:type="dxa"/>
            <w:tcBorders>
              <w:top w:val="nil"/>
              <w:left w:val="single" w:sz="4" w:space="0" w:color="auto"/>
              <w:bottom w:val="single" w:sz="4" w:space="0" w:color="auto"/>
              <w:right w:val="single" w:sz="4" w:space="0" w:color="auto"/>
            </w:tcBorders>
            <w:shd w:val="clear" w:color="auto" w:fill="FFFFFF"/>
            <w:noWrap/>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10901,1</w:t>
            </w:r>
          </w:p>
        </w:tc>
        <w:tc>
          <w:tcPr>
            <w:tcW w:w="1459"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10486</w:t>
            </w:r>
          </w:p>
        </w:tc>
        <w:tc>
          <w:tcPr>
            <w:tcW w:w="125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D24D70">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10439</w:t>
            </w:r>
          </w:p>
        </w:tc>
      </w:tr>
    </w:tbl>
    <w:p w:rsidR="008F46FF" w:rsidRPr="00E245B7" w:rsidRDefault="008F46FF" w:rsidP="009D246E">
      <w:pPr>
        <w:spacing w:after="0"/>
        <w:jc w:val="both"/>
        <w:rPr>
          <w:rFonts w:ascii="Times New Roman" w:hAnsi="Times New Roman"/>
          <w:sz w:val="28"/>
          <w:szCs w:val="28"/>
          <w:lang w:val="uk-UA"/>
        </w:rPr>
      </w:pPr>
    </w:p>
    <w:p w:rsidR="008F46FF" w:rsidRPr="00E245B7" w:rsidRDefault="008F46FF" w:rsidP="009D246E">
      <w:pPr>
        <w:spacing w:after="0"/>
        <w:jc w:val="both"/>
        <w:rPr>
          <w:rFonts w:ascii="Times New Roman" w:hAnsi="Times New Roman"/>
          <w:sz w:val="28"/>
          <w:szCs w:val="28"/>
          <w:lang w:val="uk-UA"/>
        </w:rPr>
      </w:pPr>
    </w:p>
    <w:p w:rsidR="008F46FF" w:rsidRPr="00E245B7" w:rsidRDefault="008F46FF" w:rsidP="009D246E">
      <w:pPr>
        <w:spacing w:after="0"/>
        <w:jc w:val="both"/>
        <w:rPr>
          <w:rFonts w:ascii="Times New Roman" w:hAnsi="Times New Roman"/>
          <w:sz w:val="28"/>
          <w:szCs w:val="28"/>
          <w:lang w:val="uk-UA"/>
        </w:rPr>
      </w:pPr>
    </w:p>
    <w:p w:rsidR="008F46FF" w:rsidRPr="00E245B7" w:rsidRDefault="008F46FF" w:rsidP="009D246E">
      <w:pPr>
        <w:spacing w:after="0"/>
        <w:jc w:val="both"/>
        <w:rPr>
          <w:rFonts w:ascii="Times New Roman" w:hAnsi="Times New Roman"/>
          <w:sz w:val="28"/>
          <w:szCs w:val="28"/>
          <w:lang w:val="uk-UA"/>
        </w:rPr>
      </w:pPr>
    </w:p>
    <w:tbl>
      <w:tblPr>
        <w:tblW w:w="0" w:type="auto"/>
        <w:tblInd w:w="93" w:type="dxa"/>
        <w:tblLayout w:type="fixed"/>
        <w:tblLook w:val="0000" w:firstRow="0" w:lastRow="0" w:firstColumn="0" w:lastColumn="0" w:noHBand="0" w:noVBand="0"/>
      </w:tblPr>
      <w:tblGrid>
        <w:gridCol w:w="3255"/>
        <w:gridCol w:w="1334"/>
        <w:gridCol w:w="1151"/>
        <w:gridCol w:w="1273"/>
        <w:gridCol w:w="1273"/>
        <w:gridCol w:w="1247"/>
      </w:tblGrid>
      <w:tr w:rsidR="008F46FF" w:rsidRPr="00E245B7" w:rsidTr="005F27B9">
        <w:trPr>
          <w:trHeight w:val="705"/>
        </w:trPr>
        <w:tc>
          <w:tcPr>
            <w:tcW w:w="9533" w:type="dxa"/>
            <w:gridSpan w:val="6"/>
            <w:tcBorders>
              <w:top w:val="nil"/>
              <w:left w:val="nil"/>
              <w:bottom w:val="single" w:sz="4" w:space="0" w:color="auto"/>
              <w:right w:val="nil"/>
            </w:tcBorders>
            <w:vAlign w:val="bottom"/>
          </w:tcPr>
          <w:p w:rsidR="008F46FF" w:rsidRPr="00E245B7" w:rsidRDefault="008F46FF" w:rsidP="009D246E">
            <w:pPr>
              <w:spacing w:after="0" w:line="240" w:lineRule="auto"/>
              <w:jc w:val="center"/>
              <w:rPr>
                <w:rFonts w:ascii="Times New Roman" w:hAnsi="Times New Roman"/>
                <w:color w:val="000000"/>
                <w:sz w:val="28"/>
                <w:szCs w:val="28"/>
                <w:lang w:val="uk-UA" w:eastAsia="uk-UA"/>
              </w:rPr>
            </w:pPr>
            <w:r w:rsidRPr="00E245B7">
              <w:rPr>
                <w:rFonts w:ascii="Times New Roman" w:hAnsi="Times New Roman"/>
                <w:color w:val="000000"/>
                <w:sz w:val="28"/>
                <w:szCs w:val="28"/>
                <w:lang w:val="uk-UA" w:eastAsia="uk-UA"/>
              </w:rPr>
              <w:t>І</w:t>
            </w:r>
            <w:r w:rsidR="00E245B7">
              <w:rPr>
                <w:rFonts w:ascii="Times New Roman" w:hAnsi="Times New Roman"/>
                <w:color w:val="000000"/>
                <w:sz w:val="28"/>
                <w:szCs w:val="28"/>
                <w:lang w:val="uk-UA" w:eastAsia="uk-UA"/>
              </w:rPr>
              <w:t>н</w:t>
            </w:r>
            <w:r w:rsidRPr="00E245B7">
              <w:rPr>
                <w:rFonts w:ascii="Times New Roman" w:hAnsi="Times New Roman"/>
                <w:color w:val="000000"/>
                <w:sz w:val="28"/>
                <w:szCs w:val="28"/>
                <w:lang w:val="uk-UA" w:eastAsia="uk-UA"/>
              </w:rPr>
              <w:t>формація щодо прогнозованих основних економічних показників Рівненського району (на основі статистичних даних)</w:t>
            </w:r>
          </w:p>
        </w:tc>
      </w:tr>
      <w:tr w:rsidR="008F46FF" w:rsidRPr="00E245B7" w:rsidTr="005F27B9">
        <w:trPr>
          <w:trHeight w:val="750"/>
        </w:trPr>
        <w:tc>
          <w:tcPr>
            <w:tcW w:w="3255" w:type="dxa"/>
            <w:tcBorders>
              <w:top w:val="nil"/>
              <w:left w:val="single" w:sz="4" w:space="0" w:color="auto"/>
              <w:bottom w:val="single" w:sz="4" w:space="0" w:color="auto"/>
              <w:right w:val="single" w:sz="4" w:space="0" w:color="auto"/>
            </w:tcBorders>
            <w:noWrap/>
            <w:vAlign w:val="bottom"/>
          </w:tcPr>
          <w:p w:rsidR="008F46FF" w:rsidRPr="00E245B7" w:rsidRDefault="008F46FF" w:rsidP="009D246E">
            <w:pPr>
              <w:spacing w:after="0" w:line="240" w:lineRule="auto"/>
              <w:rPr>
                <w:rFonts w:ascii="Times New Roman" w:hAnsi="Times New Roman"/>
                <w:color w:val="000000"/>
                <w:lang w:val="uk-UA" w:eastAsia="uk-UA"/>
              </w:rPr>
            </w:pPr>
            <w:r w:rsidRPr="00E245B7">
              <w:rPr>
                <w:rFonts w:ascii="Times New Roman" w:hAnsi="Times New Roman"/>
                <w:color w:val="000000"/>
                <w:lang w:val="uk-UA" w:eastAsia="uk-UA"/>
              </w:rPr>
              <w:lastRenderedPageBreak/>
              <w:t>Показники</w:t>
            </w:r>
          </w:p>
        </w:tc>
        <w:tc>
          <w:tcPr>
            <w:tcW w:w="1334"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rPr>
                <w:rFonts w:ascii="Times New Roman" w:hAnsi="Times New Roman"/>
                <w:color w:val="000000"/>
                <w:lang w:val="uk-UA" w:eastAsia="uk-UA"/>
              </w:rPr>
            </w:pPr>
            <w:r w:rsidRPr="00E245B7">
              <w:rPr>
                <w:rFonts w:ascii="Times New Roman" w:hAnsi="Times New Roman"/>
                <w:color w:val="000000"/>
                <w:lang w:val="uk-UA" w:eastAsia="uk-UA"/>
              </w:rPr>
              <w:t>Період</w:t>
            </w:r>
          </w:p>
        </w:tc>
        <w:tc>
          <w:tcPr>
            <w:tcW w:w="1151"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rPr>
                <w:rFonts w:ascii="Times New Roman" w:hAnsi="Times New Roman"/>
                <w:color w:val="000000"/>
                <w:lang w:val="uk-UA" w:eastAsia="uk-UA"/>
              </w:rPr>
            </w:pPr>
            <w:r w:rsidRPr="00E245B7">
              <w:rPr>
                <w:rFonts w:ascii="Times New Roman" w:hAnsi="Times New Roman"/>
                <w:color w:val="000000"/>
                <w:lang w:val="uk-UA" w:eastAsia="uk-UA"/>
              </w:rPr>
              <w:t xml:space="preserve">Значення </w:t>
            </w:r>
          </w:p>
        </w:tc>
        <w:tc>
          <w:tcPr>
            <w:tcW w:w="1273" w:type="dxa"/>
            <w:tcBorders>
              <w:top w:val="nil"/>
              <w:left w:val="nil"/>
              <w:bottom w:val="single" w:sz="4" w:space="0" w:color="auto"/>
              <w:right w:val="single" w:sz="4" w:space="0" w:color="auto"/>
            </w:tcBorders>
            <w:shd w:val="clear" w:color="auto" w:fill="FFFFFF"/>
            <w:vAlign w:val="bottom"/>
          </w:tcPr>
          <w:p w:rsidR="008F46FF" w:rsidRPr="00E245B7" w:rsidRDefault="008F46FF" w:rsidP="009D246E">
            <w:pPr>
              <w:spacing w:after="0" w:line="240" w:lineRule="auto"/>
              <w:jc w:val="center"/>
              <w:rPr>
                <w:rFonts w:ascii="Times New Roman" w:hAnsi="Times New Roman"/>
                <w:b/>
                <w:bCs/>
                <w:color w:val="000000"/>
                <w:lang w:val="uk-UA" w:eastAsia="uk-UA"/>
              </w:rPr>
            </w:pPr>
            <w:r w:rsidRPr="00E245B7">
              <w:rPr>
                <w:rFonts w:ascii="Times New Roman" w:hAnsi="Times New Roman"/>
                <w:b/>
                <w:bCs/>
                <w:color w:val="000000"/>
                <w:lang w:val="uk-UA" w:eastAsia="uk-UA"/>
              </w:rPr>
              <w:t>2022 (прогноз)</w:t>
            </w:r>
          </w:p>
        </w:tc>
        <w:tc>
          <w:tcPr>
            <w:tcW w:w="1273" w:type="dxa"/>
            <w:tcBorders>
              <w:top w:val="nil"/>
              <w:left w:val="nil"/>
              <w:bottom w:val="single" w:sz="4" w:space="0" w:color="auto"/>
              <w:right w:val="single" w:sz="4" w:space="0" w:color="auto"/>
            </w:tcBorders>
            <w:shd w:val="clear" w:color="auto" w:fill="FFFFFF"/>
            <w:vAlign w:val="bottom"/>
          </w:tcPr>
          <w:p w:rsidR="008F46FF" w:rsidRPr="00E245B7" w:rsidRDefault="008F46FF" w:rsidP="009D246E">
            <w:pPr>
              <w:spacing w:after="0" w:line="240" w:lineRule="auto"/>
              <w:jc w:val="center"/>
              <w:rPr>
                <w:rFonts w:ascii="Times New Roman" w:hAnsi="Times New Roman"/>
                <w:b/>
                <w:bCs/>
                <w:color w:val="000000"/>
                <w:lang w:val="uk-UA" w:eastAsia="uk-UA"/>
              </w:rPr>
            </w:pPr>
            <w:r w:rsidRPr="00E245B7">
              <w:rPr>
                <w:rFonts w:ascii="Times New Roman" w:hAnsi="Times New Roman"/>
                <w:b/>
                <w:bCs/>
                <w:color w:val="000000"/>
                <w:lang w:val="uk-UA" w:eastAsia="uk-UA"/>
              </w:rPr>
              <w:t>2023 (прогноз)</w:t>
            </w:r>
          </w:p>
        </w:tc>
        <w:tc>
          <w:tcPr>
            <w:tcW w:w="1247" w:type="dxa"/>
            <w:tcBorders>
              <w:top w:val="nil"/>
              <w:left w:val="nil"/>
              <w:bottom w:val="single" w:sz="4" w:space="0" w:color="auto"/>
              <w:right w:val="single" w:sz="4" w:space="0" w:color="auto"/>
            </w:tcBorders>
            <w:shd w:val="clear" w:color="auto" w:fill="FFFFFF"/>
            <w:vAlign w:val="bottom"/>
          </w:tcPr>
          <w:p w:rsidR="008F46FF" w:rsidRPr="00E245B7" w:rsidRDefault="008F46FF" w:rsidP="009D246E">
            <w:pPr>
              <w:spacing w:after="0" w:line="240" w:lineRule="auto"/>
              <w:jc w:val="center"/>
              <w:rPr>
                <w:rFonts w:ascii="Times New Roman" w:hAnsi="Times New Roman"/>
                <w:b/>
                <w:bCs/>
                <w:color w:val="000000"/>
                <w:lang w:val="uk-UA" w:eastAsia="uk-UA"/>
              </w:rPr>
            </w:pPr>
            <w:r w:rsidRPr="00E245B7">
              <w:rPr>
                <w:rFonts w:ascii="Times New Roman" w:hAnsi="Times New Roman"/>
                <w:b/>
                <w:bCs/>
                <w:color w:val="000000"/>
                <w:lang w:val="uk-UA" w:eastAsia="uk-UA"/>
              </w:rPr>
              <w:t>2024 (прогноз)</w:t>
            </w:r>
          </w:p>
        </w:tc>
      </w:tr>
      <w:tr w:rsidR="008F46FF" w:rsidRPr="00E245B7" w:rsidTr="005F27B9">
        <w:trPr>
          <w:trHeight w:val="375"/>
        </w:trPr>
        <w:tc>
          <w:tcPr>
            <w:tcW w:w="3255" w:type="dxa"/>
            <w:tcBorders>
              <w:top w:val="nil"/>
              <w:left w:val="single" w:sz="4" w:space="0" w:color="auto"/>
              <w:bottom w:val="single" w:sz="4" w:space="0" w:color="auto"/>
              <w:right w:val="single" w:sz="4" w:space="0" w:color="auto"/>
            </w:tcBorders>
            <w:vAlign w:val="bottom"/>
          </w:tcPr>
          <w:p w:rsidR="008F46FF" w:rsidRPr="00E245B7" w:rsidRDefault="008F46FF" w:rsidP="009D246E">
            <w:pPr>
              <w:spacing w:after="0" w:line="240" w:lineRule="auto"/>
              <w:rPr>
                <w:rFonts w:ascii="Times New Roman" w:hAnsi="Times New Roman"/>
                <w:color w:val="000000"/>
                <w:lang w:val="uk-UA" w:eastAsia="uk-UA"/>
              </w:rPr>
            </w:pPr>
            <w:r w:rsidRPr="00E245B7">
              <w:rPr>
                <w:rFonts w:ascii="Times New Roman" w:hAnsi="Times New Roman"/>
                <w:color w:val="000000"/>
                <w:lang w:val="uk-UA" w:eastAsia="uk-UA"/>
              </w:rPr>
              <w:t>Кількість суб’єктів господарювання (ФОП), од</w:t>
            </w:r>
          </w:p>
        </w:tc>
        <w:tc>
          <w:tcPr>
            <w:tcW w:w="1334" w:type="dxa"/>
            <w:vMerge w:val="restart"/>
            <w:tcBorders>
              <w:top w:val="nil"/>
              <w:left w:val="single" w:sz="4" w:space="0" w:color="auto"/>
              <w:bottom w:val="single" w:sz="4" w:space="0" w:color="000000"/>
              <w:right w:val="single" w:sz="4" w:space="0" w:color="auto"/>
            </w:tcBorders>
            <w:shd w:val="clear" w:color="auto" w:fill="FFFFFF"/>
            <w:noWrap/>
            <w:vAlign w:val="center"/>
          </w:tcPr>
          <w:p w:rsidR="008F46FF" w:rsidRPr="00E245B7" w:rsidRDefault="008F46FF" w:rsidP="005F27B9">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2019</w:t>
            </w:r>
          </w:p>
        </w:tc>
        <w:tc>
          <w:tcPr>
            <w:tcW w:w="1151"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color w:val="000000"/>
                <w:lang w:val="uk-UA" w:eastAsia="uk-UA"/>
              </w:rPr>
            </w:pPr>
            <w:r w:rsidRPr="00E245B7">
              <w:rPr>
                <w:rFonts w:ascii="Times New Roman" w:hAnsi="Times New Roman"/>
                <w:color w:val="000000"/>
                <w:lang w:val="uk-UA" w:eastAsia="uk-UA"/>
              </w:rPr>
              <w:t>23494</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23964</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24081</w:t>
            </w:r>
          </w:p>
        </w:tc>
        <w:tc>
          <w:tcPr>
            <w:tcW w:w="1247"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24093</w:t>
            </w:r>
          </w:p>
        </w:tc>
      </w:tr>
      <w:tr w:rsidR="008F46FF" w:rsidRPr="00E245B7" w:rsidTr="005F27B9">
        <w:trPr>
          <w:trHeight w:val="750"/>
        </w:trPr>
        <w:tc>
          <w:tcPr>
            <w:tcW w:w="3255" w:type="dxa"/>
            <w:tcBorders>
              <w:top w:val="nil"/>
              <w:left w:val="single" w:sz="4" w:space="0" w:color="auto"/>
              <w:bottom w:val="single" w:sz="4" w:space="0" w:color="auto"/>
              <w:right w:val="single" w:sz="4" w:space="0" w:color="auto"/>
            </w:tcBorders>
            <w:vAlign w:val="bottom"/>
          </w:tcPr>
          <w:p w:rsidR="008F46FF" w:rsidRPr="00E245B7" w:rsidRDefault="008F46FF" w:rsidP="009D246E">
            <w:pPr>
              <w:spacing w:after="0" w:line="240" w:lineRule="auto"/>
              <w:rPr>
                <w:rFonts w:ascii="Times New Roman" w:hAnsi="Times New Roman"/>
                <w:color w:val="000000"/>
                <w:lang w:val="uk-UA" w:eastAsia="uk-UA"/>
              </w:rPr>
            </w:pPr>
            <w:r w:rsidRPr="00E245B7">
              <w:rPr>
                <w:rFonts w:ascii="Times New Roman" w:hAnsi="Times New Roman"/>
                <w:color w:val="000000"/>
                <w:lang w:val="uk-UA" w:eastAsia="uk-UA"/>
              </w:rPr>
              <w:t>Кількість суб’єктів господарювання (підприємства), од</w:t>
            </w:r>
          </w:p>
        </w:tc>
        <w:tc>
          <w:tcPr>
            <w:tcW w:w="1334" w:type="dxa"/>
            <w:vMerge/>
            <w:tcBorders>
              <w:top w:val="nil"/>
              <w:left w:val="single" w:sz="4" w:space="0" w:color="auto"/>
              <w:bottom w:val="single" w:sz="4" w:space="0" w:color="000000"/>
              <w:right w:val="single" w:sz="4" w:space="0" w:color="auto"/>
            </w:tcBorders>
            <w:shd w:val="clear" w:color="auto" w:fill="FFFFFF"/>
            <w:vAlign w:val="center"/>
          </w:tcPr>
          <w:p w:rsidR="008F46FF" w:rsidRPr="00E245B7" w:rsidRDefault="008F46FF" w:rsidP="009D246E">
            <w:pPr>
              <w:spacing w:after="0" w:line="240" w:lineRule="auto"/>
              <w:rPr>
                <w:rFonts w:ascii="Times New Roman" w:hAnsi="Times New Roman"/>
                <w:color w:val="000000"/>
                <w:lang w:val="uk-UA" w:eastAsia="uk-UA"/>
              </w:rPr>
            </w:pPr>
          </w:p>
        </w:tc>
        <w:tc>
          <w:tcPr>
            <w:tcW w:w="1151"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color w:val="000000"/>
                <w:lang w:val="uk-UA" w:eastAsia="uk-UA"/>
              </w:rPr>
            </w:pPr>
            <w:r w:rsidRPr="00E245B7">
              <w:rPr>
                <w:rFonts w:ascii="Times New Roman" w:hAnsi="Times New Roman"/>
                <w:color w:val="000000"/>
                <w:lang w:val="uk-UA" w:eastAsia="uk-UA"/>
              </w:rPr>
              <w:t>4642</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4735</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4758</w:t>
            </w:r>
          </w:p>
        </w:tc>
        <w:tc>
          <w:tcPr>
            <w:tcW w:w="1247"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4760</w:t>
            </w:r>
          </w:p>
        </w:tc>
      </w:tr>
      <w:tr w:rsidR="008F46FF" w:rsidRPr="00E245B7" w:rsidTr="005F27B9">
        <w:trPr>
          <w:trHeight w:val="1080"/>
        </w:trPr>
        <w:tc>
          <w:tcPr>
            <w:tcW w:w="3255" w:type="dxa"/>
            <w:tcBorders>
              <w:top w:val="nil"/>
              <w:left w:val="single" w:sz="4" w:space="0" w:color="auto"/>
              <w:bottom w:val="single" w:sz="4" w:space="0" w:color="auto"/>
              <w:right w:val="single" w:sz="4" w:space="0" w:color="auto"/>
            </w:tcBorders>
            <w:vAlign w:val="bottom"/>
          </w:tcPr>
          <w:p w:rsidR="008F46FF" w:rsidRPr="00E245B7" w:rsidRDefault="008F46FF" w:rsidP="009D246E">
            <w:pPr>
              <w:spacing w:after="0" w:line="240" w:lineRule="auto"/>
              <w:rPr>
                <w:rFonts w:ascii="Times New Roman" w:hAnsi="Times New Roman"/>
                <w:color w:val="000000"/>
                <w:lang w:val="uk-UA" w:eastAsia="uk-UA"/>
              </w:rPr>
            </w:pPr>
            <w:r w:rsidRPr="00E245B7">
              <w:rPr>
                <w:rFonts w:ascii="Times New Roman" w:hAnsi="Times New Roman"/>
                <w:color w:val="000000"/>
                <w:lang w:val="uk-UA" w:eastAsia="uk-UA"/>
              </w:rPr>
              <w:t>Обсяг реалізованої промислової продукції (товарів, послуг) без ПДВ та акцизу, тис.грн</w:t>
            </w:r>
          </w:p>
        </w:tc>
        <w:tc>
          <w:tcPr>
            <w:tcW w:w="1334" w:type="dxa"/>
            <w:tcBorders>
              <w:top w:val="nil"/>
              <w:left w:val="nil"/>
              <w:bottom w:val="single" w:sz="4" w:space="0" w:color="auto"/>
              <w:right w:val="single" w:sz="4" w:space="0" w:color="auto"/>
            </w:tcBorders>
            <w:shd w:val="clear" w:color="auto" w:fill="FFFFFF"/>
            <w:vAlign w:val="bottom"/>
          </w:tcPr>
          <w:p w:rsidR="008F46FF" w:rsidRPr="00E245B7" w:rsidRDefault="008F46FF" w:rsidP="009D246E">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у січні–квітні 2021 року</w:t>
            </w:r>
          </w:p>
        </w:tc>
        <w:tc>
          <w:tcPr>
            <w:tcW w:w="1151"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color w:val="000000"/>
                <w:lang w:val="uk-UA" w:eastAsia="uk-UA"/>
              </w:rPr>
            </w:pPr>
            <w:r w:rsidRPr="00E245B7">
              <w:rPr>
                <w:rFonts w:ascii="Times New Roman" w:hAnsi="Times New Roman"/>
                <w:color w:val="000000"/>
                <w:lang w:val="uk-UA" w:eastAsia="uk-UA"/>
              </w:rPr>
              <w:t>9930630</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30387728</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30536687</w:t>
            </w:r>
          </w:p>
        </w:tc>
        <w:tc>
          <w:tcPr>
            <w:tcW w:w="1247"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30551583</w:t>
            </w:r>
          </w:p>
        </w:tc>
      </w:tr>
      <w:tr w:rsidR="008F46FF" w:rsidRPr="00E245B7" w:rsidTr="005F27B9">
        <w:trPr>
          <w:trHeight w:val="375"/>
        </w:trPr>
        <w:tc>
          <w:tcPr>
            <w:tcW w:w="3255" w:type="dxa"/>
            <w:tcBorders>
              <w:top w:val="nil"/>
              <w:left w:val="single" w:sz="4" w:space="0" w:color="auto"/>
              <w:bottom w:val="single" w:sz="4" w:space="0" w:color="auto"/>
              <w:right w:val="single" w:sz="4" w:space="0" w:color="auto"/>
            </w:tcBorders>
            <w:vAlign w:val="bottom"/>
          </w:tcPr>
          <w:p w:rsidR="008F46FF" w:rsidRPr="00E245B7" w:rsidRDefault="008F46FF" w:rsidP="009D246E">
            <w:pPr>
              <w:spacing w:after="0" w:line="240" w:lineRule="auto"/>
              <w:rPr>
                <w:rFonts w:ascii="Times New Roman" w:hAnsi="Times New Roman"/>
                <w:color w:val="000000"/>
                <w:lang w:val="uk-UA" w:eastAsia="uk-UA"/>
              </w:rPr>
            </w:pPr>
            <w:r w:rsidRPr="00E245B7">
              <w:rPr>
                <w:rFonts w:ascii="Times New Roman" w:hAnsi="Times New Roman"/>
                <w:color w:val="000000"/>
                <w:lang w:val="uk-UA" w:eastAsia="uk-UA"/>
              </w:rPr>
              <w:t>Обсяг реалізованих послуг (тис.грн)</w:t>
            </w:r>
          </w:p>
        </w:tc>
        <w:tc>
          <w:tcPr>
            <w:tcW w:w="1334" w:type="dxa"/>
            <w:tcBorders>
              <w:top w:val="nil"/>
              <w:left w:val="nil"/>
              <w:bottom w:val="single" w:sz="4" w:space="0" w:color="auto"/>
              <w:right w:val="single" w:sz="4" w:space="0" w:color="auto"/>
            </w:tcBorders>
            <w:shd w:val="clear" w:color="auto" w:fill="FFFFFF"/>
            <w:vAlign w:val="center"/>
          </w:tcPr>
          <w:p w:rsidR="008F46FF" w:rsidRPr="00E245B7" w:rsidRDefault="008F46FF" w:rsidP="005F27B9">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2020 рік</w:t>
            </w:r>
          </w:p>
        </w:tc>
        <w:tc>
          <w:tcPr>
            <w:tcW w:w="1151"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color w:val="000000"/>
                <w:lang w:val="uk-UA" w:eastAsia="uk-UA"/>
              </w:rPr>
            </w:pPr>
            <w:r w:rsidRPr="00E245B7">
              <w:rPr>
                <w:rFonts w:ascii="Times New Roman" w:hAnsi="Times New Roman"/>
                <w:color w:val="000000"/>
                <w:lang w:val="uk-UA" w:eastAsia="uk-UA"/>
              </w:rPr>
              <w:t>826618,9</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843151</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860014</w:t>
            </w:r>
          </w:p>
        </w:tc>
        <w:tc>
          <w:tcPr>
            <w:tcW w:w="1247"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877215</w:t>
            </w:r>
          </w:p>
        </w:tc>
      </w:tr>
      <w:tr w:rsidR="008F46FF" w:rsidRPr="00E245B7" w:rsidTr="005F27B9">
        <w:trPr>
          <w:trHeight w:val="1125"/>
        </w:trPr>
        <w:tc>
          <w:tcPr>
            <w:tcW w:w="3255" w:type="dxa"/>
            <w:tcBorders>
              <w:top w:val="nil"/>
              <w:left w:val="single" w:sz="4" w:space="0" w:color="auto"/>
              <w:bottom w:val="single" w:sz="4" w:space="0" w:color="auto"/>
              <w:right w:val="single" w:sz="4" w:space="0" w:color="auto"/>
            </w:tcBorders>
            <w:vAlign w:val="bottom"/>
          </w:tcPr>
          <w:p w:rsidR="008F46FF" w:rsidRPr="00E245B7" w:rsidRDefault="008F46FF" w:rsidP="009D246E">
            <w:pPr>
              <w:spacing w:after="0" w:line="240" w:lineRule="auto"/>
              <w:rPr>
                <w:rFonts w:ascii="Times New Roman" w:hAnsi="Times New Roman"/>
                <w:color w:val="000000"/>
                <w:lang w:val="uk-UA" w:eastAsia="uk-UA"/>
              </w:rPr>
            </w:pPr>
            <w:r w:rsidRPr="00E245B7">
              <w:rPr>
                <w:rFonts w:ascii="Times New Roman" w:hAnsi="Times New Roman"/>
                <w:color w:val="000000"/>
                <w:lang w:val="uk-UA" w:eastAsia="uk-UA"/>
              </w:rPr>
              <w:t xml:space="preserve">Роздрібний товарооборот підприємств роздрібної торгівлі тис.грн </w:t>
            </w:r>
          </w:p>
        </w:tc>
        <w:tc>
          <w:tcPr>
            <w:tcW w:w="1334" w:type="dxa"/>
            <w:tcBorders>
              <w:top w:val="nil"/>
              <w:left w:val="nil"/>
              <w:bottom w:val="single" w:sz="4" w:space="0" w:color="auto"/>
              <w:right w:val="single" w:sz="4" w:space="0" w:color="auto"/>
            </w:tcBorders>
            <w:shd w:val="clear" w:color="auto" w:fill="FFFFFF"/>
            <w:vAlign w:val="center"/>
          </w:tcPr>
          <w:p w:rsidR="008F46FF" w:rsidRPr="00E245B7" w:rsidRDefault="008F46FF" w:rsidP="009D246E">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у січні–березні 2021 року</w:t>
            </w:r>
          </w:p>
        </w:tc>
        <w:tc>
          <w:tcPr>
            <w:tcW w:w="1151"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color w:val="000000"/>
                <w:lang w:val="uk-UA" w:eastAsia="uk-UA"/>
              </w:rPr>
            </w:pPr>
            <w:r w:rsidRPr="00E245B7">
              <w:rPr>
                <w:rFonts w:ascii="Times New Roman" w:hAnsi="Times New Roman"/>
                <w:color w:val="000000"/>
                <w:lang w:val="uk-UA" w:eastAsia="uk-UA"/>
              </w:rPr>
              <w:t>2953915,5</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12051975</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12111054</w:t>
            </w:r>
          </w:p>
        </w:tc>
        <w:tc>
          <w:tcPr>
            <w:tcW w:w="1247"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12116961</w:t>
            </w:r>
          </w:p>
        </w:tc>
      </w:tr>
      <w:tr w:rsidR="008F46FF" w:rsidRPr="00E245B7" w:rsidTr="005F27B9">
        <w:trPr>
          <w:trHeight w:val="750"/>
        </w:trPr>
        <w:tc>
          <w:tcPr>
            <w:tcW w:w="3255" w:type="dxa"/>
            <w:tcBorders>
              <w:top w:val="nil"/>
              <w:left w:val="single" w:sz="4" w:space="0" w:color="auto"/>
              <w:bottom w:val="single" w:sz="4" w:space="0" w:color="auto"/>
              <w:right w:val="single" w:sz="4" w:space="0" w:color="auto"/>
            </w:tcBorders>
            <w:vAlign w:val="bottom"/>
          </w:tcPr>
          <w:p w:rsidR="008F46FF" w:rsidRPr="00E245B7" w:rsidRDefault="008F46FF" w:rsidP="009D246E">
            <w:pPr>
              <w:spacing w:after="0" w:line="240" w:lineRule="auto"/>
              <w:rPr>
                <w:rFonts w:ascii="Times New Roman" w:hAnsi="Times New Roman"/>
                <w:color w:val="000000"/>
                <w:lang w:val="uk-UA" w:eastAsia="uk-UA"/>
              </w:rPr>
            </w:pPr>
            <w:r w:rsidRPr="00E245B7">
              <w:rPr>
                <w:rFonts w:ascii="Times New Roman" w:hAnsi="Times New Roman"/>
                <w:color w:val="000000"/>
                <w:lang w:val="uk-UA" w:eastAsia="uk-UA"/>
              </w:rPr>
              <w:t>Експорт  тис.дол. США</w:t>
            </w:r>
          </w:p>
        </w:tc>
        <w:tc>
          <w:tcPr>
            <w:tcW w:w="1334" w:type="dxa"/>
            <w:tcBorders>
              <w:top w:val="nil"/>
              <w:left w:val="nil"/>
              <w:bottom w:val="single" w:sz="4" w:space="0" w:color="auto"/>
              <w:right w:val="single" w:sz="4" w:space="0" w:color="auto"/>
            </w:tcBorders>
            <w:shd w:val="clear" w:color="auto" w:fill="FFFFFF"/>
            <w:vAlign w:val="center"/>
          </w:tcPr>
          <w:p w:rsidR="008F46FF" w:rsidRPr="00E245B7" w:rsidRDefault="008F46FF" w:rsidP="009D246E">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у січні–квітні 2021 року</w:t>
            </w:r>
          </w:p>
        </w:tc>
        <w:tc>
          <w:tcPr>
            <w:tcW w:w="1151"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color w:val="000000"/>
                <w:lang w:val="uk-UA" w:eastAsia="uk-UA"/>
              </w:rPr>
            </w:pPr>
            <w:r w:rsidRPr="00E245B7">
              <w:rPr>
                <w:rFonts w:ascii="Times New Roman" w:hAnsi="Times New Roman"/>
                <w:color w:val="000000"/>
                <w:lang w:val="uk-UA" w:eastAsia="uk-UA"/>
              </w:rPr>
              <w:t>155964,4</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477251</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479591</w:t>
            </w:r>
          </w:p>
        </w:tc>
        <w:tc>
          <w:tcPr>
            <w:tcW w:w="1247"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479824</w:t>
            </w:r>
          </w:p>
        </w:tc>
      </w:tr>
      <w:tr w:rsidR="008F46FF" w:rsidRPr="00E245B7" w:rsidTr="005F27B9">
        <w:trPr>
          <w:trHeight w:val="750"/>
        </w:trPr>
        <w:tc>
          <w:tcPr>
            <w:tcW w:w="3255" w:type="dxa"/>
            <w:tcBorders>
              <w:top w:val="nil"/>
              <w:left w:val="single" w:sz="4" w:space="0" w:color="auto"/>
              <w:bottom w:val="single" w:sz="4" w:space="0" w:color="auto"/>
              <w:right w:val="single" w:sz="4" w:space="0" w:color="auto"/>
            </w:tcBorders>
            <w:vAlign w:val="bottom"/>
          </w:tcPr>
          <w:p w:rsidR="008F46FF" w:rsidRPr="00E245B7" w:rsidRDefault="008F46FF" w:rsidP="009D246E">
            <w:pPr>
              <w:spacing w:after="0" w:line="240" w:lineRule="auto"/>
              <w:rPr>
                <w:rFonts w:ascii="Times New Roman" w:hAnsi="Times New Roman"/>
                <w:color w:val="000000"/>
                <w:lang w:val="uk-UA" w:eastAsia="uk-UA"/>
              </w:rPr>
            </w:pPr>
            <w:r w:rsidRPr="00E245B7">
              <w:rPr>
                <w:rFonts w:ascii="Times New Roman" w:hAnsi="Times New Roman"/>
                <w:color w:val="000000"/>
                <w:lang w:val="uk-UA" w:eastAsia="uk-UA"/>
              </w:rPr>
              <w:t>Імпорт  тис.дол. США</w:t>
            </w:r>
          </w:p>
        </w:tc>
        <w:tc>
          <w:tcPr>
            <w:tcW w:w="1334" w:type="dxa"/>
            <w:tcBorders>
              <w:top w:val="nil"/>
              <w:left w:val="nil"/>
              <w:bottom w:val="single" w:sz="4" w:space="0" w:color="auto"/>
              <w:right w:val="single" w:sz="4" w:space="0" w:color="auto"/>
            </w:tcBorders>
            <w:shd w:val="clear" w:color="auto" w:fill="FFFFFF"/>
            <w:vAlign w:val="center"/>
          </w:tcPr>
          <w:p w:rsidR="008F46FF" w:rsidRPr="00E245B7" w:rsidRDefault="008F46FF" w:rsidP="009D246E">
            <w:pPr>
              <w:spacing w:after="0" w:line="240" w:lineRule="auto"/>
              <w:jc w:val="center"/>
              <w:rPr>
                <w:rFonts w:ascii="Times New Roman" w:hAnsi="Times New Roman"/>
                <w:color w:val="000000"/>
                <w:lang w:val="uk-UA" w:eastAsia="uk-UA"/>
              </w:rPr>
            </w:pPr>
            <w:r w:rsidRPr="00E245B7">
              <w:rPr>
                <w:rFonts w:ascii="Times New Roman" w:hAnsi="Times New Roman"/>
                <w:color w:val="000000"/>
                <w:lang w:val="uk-UA" w:eastAsia="uk-UA"/>
              </w:rPr>
              <w:t>у січні–квітні 2021 року</w:t>
            </w:r>
          </w:p>
        </w:tc>
        <w:tc>
          <w:tcPr>
            <w:tcW w:w="1151"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color w:val="000000"/>
                <w:lang w:val="uk-UA" w:eastAsia="uk-UA"/>
              </w:rPr>
            </w:pPr>
            <w:r w:rsidRPr="00E245B7">
              <w:rPr>
                <w:rFonts w:ascii="Times New Roman" w:hAnsi="Times New Roman"/>
                <w:color w:val="000000"/>
                <w:lang w:val="uk-UA" w:eastAsia="uk-UA"/>
              </w:rPr>
              <w:t>104113,9</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318589</w:t>
            </w:r>
          </w:p>
        </w:tc>
        <w:tc>
          <w:tcPr>
            <w:tcW w:w="1273"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320150</w:t>
            </w:r>
          </w:p>
        </w:tc>
        <w:tc>
          <w:tcPr>
            <w:tcW w:w="1247" w:type="dxa"/>
            <w:tcBorders>
              <w:top w:val="nil"/>
              <w:left w:val="nil"/>
              <w:bottom w:val="single" w:sz="4" w:space="0" w:color="auto"/>
              <w:right w:val="single" w:sz="4" w:space="0" w:color="auto"/>
            </w:tcBorders>
            <w:shd w:val="clear" w:color="auto" w:fill="FFFFFF"/>
            <w:noWrap/>
            <w:vAlign w:val="bottom"/>
          </w:tcPr>
          <w:p w:rsidR="008F46FF" w:rsidRPr="00E245B7" w:rsidRDefault="008F46FF" w:rsidP="009D246E">
            <w:pPr>
              <w:spacing w:after="0" w:line="240" w:lineRule="auto"/>
              <w:jc w:val="right"/>
              <w:rPr>
                <w:rFonts w:ascii="Times New Roman" w:hAnsi="Times New Roman"/>
                <w:lang w:val="uk-UA" w:eastAsia="uk-UA"/>
              </w:rPr>
            </w:pPr>
            <w:r w:rsidRPr="00E245B7">
              <w:rPr>
                <w:rFonts w:ascii="Times New Roman" w:hAnsi="Times New Roman"/>
                <w:lang w:val="uk-UA" w:eastAsia="uk-UA"/>
              </w:rPr>
              <w:t>320306</w:t>
            </w:r>
          </w:p>
        </w:tc>
      </w:tr>
    </w:tbl>
    <w:p w:rsidR="008F46FF" w:rsidRPr="00E245B7" w:rsidRDefault="008F46FF" w:rsidP="009D246E">
      <w:pPr>
        <w:spacing w:after="0"/>
        <w:jc w:val="both"/>
        <w:rPr>
          <w:rFonts w:ascii="Times New Roman" w:hAnsi="Times New Roman"/>
          <w:lang w:val="uk-UA"/>
        </w:rPr>
      </w:pPr>
    </w:p>
    <w:p w:rsidR="008F46FF" w:rsidRPr="00E245B7" w:rsidRDefault="008F46FF" w:rsidP="007737FA">
      <w:pPr>
        <w:spacing w:after="0" w:line="240" w:lineRule="auto"/>
        <w:ind w:firstLine="720"/>
        <w:jc w:val="center"/>
        <w:rPr>
          <w:rFonts w:ascii="Times New Roman" w:hAnsi="Times New Roman"/>
          <w:color w:val="000000"/>
          <w:sz w:val="28"/>
          <w:szCs w:val="28"/>
          <w:lang w:val="uk-UA" w:eastAsia="ru-RU"/>
        </w:rPr>
      </w:pPr>
    </w:p>
    <w:p w:rsidR="008F46FF" w:rsidRPr="00E245B7" w:rsidRDefault="008F46FF" w:rsidP="007737FA">
      <w:pPr>
        <w:spacing w:after="0" w:line="240" w:lineRule="auto"/>
        <w:ind w:firstLine="720"/>
        <w:jc w:val="center"/>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Показники  районного бюджету на 2020-2024 роки</w:t>
      </w:r>
    </w:p>
    <w:p w:rsidR="008F46FF" w:rsidRPr="00E245B7" w:rsidRDefault="008F46FF" w:rsidP="007737FA">
      <w:pPr>
        <w:spacing w:after="0" w:line="240" w:lineRule="auto"/>
        <w:ind w:firstLine="720"/>
        <w:jc w:val="center"/>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 xml:space="preserve">                                                                                                            (грн.)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701"/>
        <w:gridCol w:w="1560"/>
        <w:gridCol w:w="1417"/>
        <w:gridCol w:w="1418"/>
        <w:gridCol w:w="1289"/>
      </w:tblGrid>
      <w:tr w:rsidR="008F46FF" w:rsidRPr="00E245B7" w:rsidTr="005F27B9">
        <w:tc>
          <w:tcPr>
            <w:tcW w:w="2263" w:type="dxa"/>
            <w:vAlign w:val="center"/>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Найменування</w:t>
            </w:r>
            <w:r w:rsidR="00BE1E03">
              <w:rPr>
                <w:rFonts w:ascii="Times New Roman" w:hAnsi="Times New Roman"/>
                <w:color w:val="000000"/>
                <w:lang w:val="uk-UA" w:eastAsia="ru-RU"/>
              </w:rPr>
              <w:t xml:space="preserve"> </w:t>
            </w:r>
            <w:r w:rsidRPr="00E245B7">
              <w:rPr>
                <w:rFonts w:ascii="Times New Roman" w:hAnsi="Times New Roman"/>
                <w:color w:val="000000"/>
                <w:lang w:val="uk-UA" w:eastAsia="ru-RU"/>
              </w:rPr>
              <w:t>показника</w:t>
            </w:r>
          </w:p>
        </w:tc>
        <w:tc>
          <w:tcPr>
            <w:tcW w:w="1701" w:type="dxa"/>
            <w:vAlign w:val="center"/>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2020 рік (звіт)</w:t>
            </w:r>
          </w:p>
        </w:tc>
        <w:tc>
          <w:tcPr>
            <w:tcW w:w="1560" w:type="dxa"/>
            <w:vAlign w:val="center"/>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2021 рік (затверджено з урахуванням змін станом на 01 липня)</w:t>
            </w:r>
          </w:p>
        </w:tc>
        <w:tc>
          <w:tcPr>
            <w:tcW w:w="1417" w:type="dxa"/>
            <w:vAlign w:val="center"/>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2022 рік (план)</w:t>
            </w:r>
          </w:p>
        </w:tc>
        <w:tc>
          <w:tcPr>
            <w:tcW w:w="1418" w:type="dxa"/>
            <w:vAlign w:val="center"/>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2023 рік (план)</w:t>
            </w:r>
          </w:p>
        </w:tc>
        <w:tc>
          <w:tcPr>
            <w:tcW w:w="1289" w:type="dxa"/>
            <w:vAlign w:val="center"/>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2024 рік (план)</w:t>
            </w:r>
          </w:p>
        </w:tc>
      </w:tr>
      <w:tr w:rsidR="008F46FF" w:rsidRPr="00E245B7" w:rsidTr="005F27B9">
        <w:tc>
          <w:tcPr>
            <w:tcW w:w="9648" w:type="dxa"/>
            <w:gridSpan w:val="6"/>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І. Загальні показники надходжень</w:t>
            </w:r>
          </w:p>
        </w:tc>
      </w:tr>
      <w:tr w:rsidR="008F46FF" w:rsidRPr="00E245B7" w:rsidTr="005F27B9">
        <w:tc>
          <w:tcPr>
            <w:tcW w:w="2263" w:type="dxa"/>
          </w:tcPr>
          <w:p w:rsidR="008F46FF" w:rsidRPr="00E245B7" w:rsidRDefault="008F46FF" w:rsidP="00512008">
            <w:pPr>
              <w:spacing w:after="0" w:line="240" w:lineRule="auto"/>
              <w:jc w:val="both"/>
              <w:rPr>
                <w:rFonts w:ascii="Times New Roman" w:hAnsi="Times New Roman"/>
                <w:color w:val="000000"/>
                <w:lang w:val="uk-UA" w:eastAsia="ru-RU"/>
              </w:rPr>
            </w:pPr>
            <w:r w:rsidRPr="00E245B7">
              <w:rPr>
                <w:rFonts w:ascii="Times New Roman" w:hAnsi="Times New Roman"/>
                <w:color w:val="000000"/>
                <w:lang w:val="uk-UA" w:eastAsia="ru-RU"/>
              </w:rPr>
              <w:t>Доходи (з  міжбюджетними трансфертами)</w:t>
            </w:r>
          </w:p>
        </w:tc>
        <w:tc>
          <w:tcPr>
            <w:tcW w:w="1701"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368160095,39</w:t>
            </w:r>
          </w:p>
        </w:tc>
        <w:tc>
          <w:tcPr>
            <w:tcW w:w="1560" w:type="dxa"/>
          </w:tcPr>
          <w:p w:rsidR="008F46FF" w:rsidRPr="00E245B7" w:rsidRDefault="008F46FF" w:rsidP="00512008">
            <w:pPr>
              <w:spacing w:after="0" w:line="240" w:lineRule="auto"/>
              <w:rPr>
                <w:rFonts w:ascii="Times New Roman" w:hAnsi="Times New Roman"/>
                <w:color w:val="000000"/>
                <w:lang w:val="uk-UA" w:eastAsia="ru-RU"/>
              </w:rPr>
            </w:pPr>
            <w:r w:rsidRPr="00E245B7">
              <w:rPr>
                <w:rFonts w:ascii="Times New Roman" w:hAnsi="Times New Roman"/>
                <w:color w:val="000000"/>
                <w:lang w:val="uk-UA" w:eastAsia="ru-RU"/>
              </w:rPr>
              <w:t>3306518,39</w:t>
            </w:r>
          </w:p>
        </w:tc>
        <w:tc>
          <w:tcPr>
            <w:tcW w:w="1417"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2278343,00</w:t>
            </w:r>
          </w:p>
        </w:tc>
        <w:tc>
          <w:tcPr>
            <w:tcW w:w="1418" w:type="dxa"/>
          </w:tcPr>
          <w:p w:rsidR="008F46FF" w:rsidRPr="00E245B7" w:rsidRDefault="008F46FF" w:rsidP="00512008">
            <w:pPr>
              <w:spacing w:after="0" w:line="240" w:lineRule="auto"/>
              <w:rPr>
                <w:rFonts w:ascii="Times New Roman" w:hAnsi="Times New Roman"/>
                <w:color w:val="000000"/>
                <w:lang w:val="uk-UA" w:eastAsia="ru-RU"/>
              </w:rPr>
            </w:pPr>
            <w:r w:rsidRPr="00E245B7">
              <w:rPr>
                <w:rFonts w:ascii="Times New Roman" w:hAnsi="Times New Roman"/>
                <w:color w:val="000000"/>
                <w:lang w:val="uk-UA" w:eastAsia="ru-RU"/>
              </w:rPr>
              <w:t>2419315,00</w:t>
            </w:r>
          </w:p>
        </w:tc>
        <w:tc>
          <w:tcPr>
            <w:tcW w:w="1289" w:type="dxa"/>
          </w:tcPr>
          <w:p w:rsidR="008F46FF" w:rsidRPr="00E245B7" w:rsidRDefault="008F46FF" w:rsidP="00512008">
            <w:pPr>
              <w:spacing w:after="0" w:line="240" w:lineRule="auto"/>
              <w:ind w:left="118" w:hanging="118"/>
              <w:jc w:val="center"/>
              <w:rPr>
                <w:rFonts w:ascii="Times New Roman" w:hAnsi="Times New Roman"/>
                <w:color w:val="000000"/>
                <w:lang w:val="uk-UA" w:eastAsia="ru-RU"/>
              </w:rPr>
            </w:pPr>
            <w:r w:rsidRPr="00E245B7">
              <w:rPr>
                <w:rFonts w:ascii="Times New Roman" w:hAnsi="Times New Roman"/>
                <w:color w:val="000000"/>
                <w:lang w:val="uk-UA" w:eastAsia="ru-RU"/>
              </w:rPr>
              <w:t>2546806,00</w:t>
            </w:r>
          </w:p>
        </w:tc>
      </w:tr>
      <w:tr w:rsidR="008F46FF" w:rsidRPr="00E245B7" w:rsidTr="005F27B9">
        <w:tc>
          <w:tcPr>
            <w:tcW w:w="2263" w:type="dxa"/>
          </w:tcPr>
          <w:p w:rsidR="008F46FF" w:rsidRPr="00E245B7" w:rsidRDefault="008F46FF" w:rsidP="00512008">
            <w:pPr>
              <w:spacing w:after="0" w:line="240" w:lineRule="auto"/>
              <w:jc w:val="both"/>
              <w:rPr>
                <w:rFonts w:ascii="Times New Roman" w:hAnsi="Times New Roman"/>
                <w:color w:val="000000"/>
                <w:lang w:val="uk-UA" w:eastAsia="ru-RU"/>
              </w:rPr>
            </w:pPr>
            <w:r w:rsidRPr="00E245B7">
              <w:rPr>
                <w:rFonts w:ascii="Times New Roman" w:hAnsi="Times New Roman"/>
                <w:color w:val="000000"/>
                <w:lang w:val="uk-UA" w:eastAsia="ru-RU"/>
              </w:rPr>
              <w:t>Загальний фонд</w:t>
            </w:r>
          </w:p>
        </w:tc>
        <w:tc>
          <w:tcPr>
            <w:tcW w:w="1701" w:type="dxa"/>
          </w:tcPr>
          <w:p w:rsidR="008F46FF" w:rsidRPr="00E245B7" w:rsidRDefault="008F46FF" w:rsidP="00512008">
            <w:pPr>
              <w:spacing w:after="0" w:line="240" w:lineRule="auto"/>
              <w:ind w:left="-108"/>
              <w:jc w:val="center"/>
              <w:rPr>
                <w:rFonts w:ascii="Times New Roman" w:hAnsi="Times New Roman"/>
                <w:color w:val="000000"/>
                <w:lang w:val="uk-UA" w:eastAsia="ru-RU"/>
              </w:rPr>
            </w:pPr>
            <w:r w:rsidRPr="00E245B7">
              <w:rPr>
                <w:rFonts w:ascii="Times New Roman" w:hAnsi="Times New Roman"/>
                <w:color w:val="000000"/>
                <w:lang w:val="uk-UA" w:eastAsia="ru-RU"/>
              </w:rPr>
              <w:t>354207478,66</w:t>
            </w:r>
          </w:p>
        </w:tc>
        <w:tc>
          <w:tcPr>
            <w:tcW w:w="1560"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3256518,39</w:t>
            </w:r>
          </w:p>
        </w:tc>
        <w:tc>
          <w:tcPr>
            <w:tcW w:w="1417"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2278343,00</w:t>
            </w:r>
          </w:p>
        </w:tc>
        <w:tc>
          <w:tcPr>
            <w:tcW w:w="1418"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2419315,00</w:t>
            </w:r>
          </w:p>
        </w:tc>
        <w:tc>
          <w:tcPr>
            <w:tcW w:w="1289" w:type="dxa"/>
          </w:tcPr>
          <w:p w:rsidR="008F46FF" w:rsidRPr="00E245B7" w:rsidRDefault="008F46FF" w:rsidP="00691874">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2546806,00</w:t>
            </w:r>
          </w:p>
        </w:tc>
      </w:tr>
      <w:tr w:rsidR="008F46FF" w:rsidRPr="00E245B7" w:rsidTr="005F27B9">
        <w:tc>
          <w:tcPr>
            <w:tcW w:w="2263" w:type="dxa"/>
          </w:tcPr>
          <w:p w:rsidR="008F46FF" w:rsidRPr="00E245B7" w:rsidRDefault="008F46FF" w:rsidP="00512008">
            <w:pPr>
              <w:spacing w:after="0" w:line="240" w:lineRule="auto"/>
              <w:jc w:val="both"/>
              <w:rPr>
                <w:rFonts w:ascii="Times New Roman" w:hAnsi="Times New Roman"/>
                <w:color w:val="000000"/>
                <w:lang w:val="uk-UA" w:eastAsia="ru-RU"/>
              </w:rPr>
            </w:pPr>
            <w:r w:rsidRPr="00E245B7">
              <w:rPr>
                <w:rFonts w:ascii="Times New Roman" w:hAnsi="Times New Roman"/>
                <w:color w:val="000000"/>
                <w:lang w:val="uk-UA" w:eastAsia="ru-RU"/>
              </w:rPr>
              <w:t>Спеціальний фонд</w:t>
            </w:r>
          </w:p>
        </w:tc>
        <w:tc>
          <w:tcPr>
            <w:tcW w:w="1701"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13952616,73</w:t>
            </w:r>
          </w:p>
        </w:tc>
        <w:tc>
          <w:tcPr>
            <w:tcW w:w="1560"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50000,00</w:t>
            </w:r>
          </w:p>
        </w:tc>
        <w:tc>
          <w:tcPr>
            <w:tcW w:w="1417"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0</w:t>
            </w:r>
          </w:p>
        </w:tc>
        <w:tc>
          <w:tcPr>
            <w:tcW w:w="1418"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0</w:t>
            </w:r>
          </w:p>
        </w:tc>
        <w:tc>
          <w:tcPr>
            <w:tcW w:w="1289"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0</w:t>
            </w:r>
          </w:p>
        </w:tc>
      </w:tr>
      <w:tr w:rsidR="008F46FF" w:rsidRPr="00E245B7" w:rsidTr="005F27B9">
        <w:tc>
          <w:tcPr>
            <w:tcW w:w="9648" w:type="dxa"/>
            <w:gridSpan w:val="6"/>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ІІ. Загальні показники видатків</w:t>
            </w:r>
          </w:p>
        </w:tc>
      </w:tr>
      <w:tr w:rsidR="008F46FF" w:rsidRPr="00E245B7" w:rsidTr="005F27B9">
        <w:tc>
          <w:tcPr>
            <w:tcW w:w="2263" w:type="dxa"/>
          </w:tcPr>
          <w:p w:rsidR="008F46FF" w:rsidRPr="00E245B7" w:rsidRDefault="008F46FF" w:rsidP="00512008">
            <w:pPr>
              <w:spacing w:after="0" w:line="240" w:lineRule="auto"/>
              <w:jc w:val="both"/>
              <w:rPr>
                <w:rFonts w:ascii="Times New Roman" w:hAnsi="Times New Roman"/>
                <w:color w:val="000000"/>
                <w:lang w:val="uk-UA" w:eastAsia="ru-RU"/>
              </w:rPr>
            </w:pPr>
            <w:r w:rsidRPr="00E245B7">
              <w:rPr>
                <w:rFonts w:ascii="Times New Roman" w:hAnsi="Times New Roman"/>
                <w:color w:val="000000"/>
                <w:lang w:val="uk-UA" w:eastAsia="ru-RU"/>
              </w:rPr>
              <w:t>Видатки (з урахуванням міжбюджетних трансфертів)</w:t>
            </w:r>
          </w:p>
        </w:tc>
        <w:tc>
          <w:tcPr>
            <w:tcW w:w="1701" w:type="dxa"/>
          </w:tcPr>
          <w:p w:rsidR="008F46FF" w:rsidRPr="00E245B7" w:rsidRDefault="008F46FF" w:rsidP="00512008">
            <w:pPr>
              <w:spacing w:after="0" w:line="240" w:lineRule="auto"/>
              <w:rPr>
                <w:rFonts w:ascii="Times New Roman" w:hAnsi="Times New Roman"/>
                <w:color w:val="000000"/>
                <w:lang w:val="uk-UA" w:eastAsia="ru-RU"/>
              </w:rPr>
            </w:pPr>
            <w:r w:rsidRPr="00E245B7">
              <w:rPr>
                <w:rFonts w:ascii="Times New Roman" w:hAnsi="Times New Roman"/>
                <w:color w:val="000000"/>
                <w:lang w:val="uk-UA" w:eastAsia="ru-RU"/>
              </w:rPr>
              <w:t>365740281,77</w:t>
            </w:r>
          </w:p>
        </w:tc>
        <w:tc>
          <w:tcPr>
            <w:tcW w:w="1560"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26483421,36</w:t>
            </w:r>
          </w:p>
        </w:tc>
        <w:tc>
          <w:tcPr>
            <w:tcW w:w="1417"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2278343,00</w:t>
            </w:r>
          </w:p>
        </w:tc>
        <w:tc>
          <w:tcPr>
            <w:tcW w:w="1418"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2419315,00</w:t>
            </w:r>
          </w:p>
        </w:tc>
        <w:tc>
          <w:tcPr>
            <w:tcW w:w="1289"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2546806,00</w:t>
            </w:r>
          </w:p>
        </w:tc>
      </w:tr>
      <w:tr w:rsidR="008F46FF" w:rsidRPr="00E245B7" w:rsidTr="005F27B9">
        <w:tc>
          <w:tcPr>
            <w:tcW w:w="2263" w:type="dxa"/>
          </w:tcPr>
          <w:p w:rsidR="008F46FF" w:rsidRPr="00E245B7" w:rsidRDefault="008F46FF" w:rsidP="00512008">
            <w:pPr>
              <w:spacing w:after="0" w:line="240" w:lineRule="auto"/>
              <w:jc w:val="both"/>
              <w:rPr>
                <w:rFonts w:ascii="Times New Roman" w:hAnsi="Times New Roman"/>
                <w:color w:val="000000"/>
                <w:lang w:val="uk-UA" w:eastAsia="ru-RU"/>
              </w:rPr>
            </w:pPr>
            <w:r w:rsidRPr="00E245B7">
              <w:rPr>
                <w:rFonts w:ascii="Times New Roman" w:hAnsi="Times New Roman"/>
                <w:color w:val="000000"/>
                <w:lang w:val="uk-UA" w:eastAsia="ru-RU"/>
              </w:rPr>
              <w:t>Загальний фонд</w:t>
            </w:r>
          </w:p>
        </w:tc>
        <w:tc>
          <w:tcPr>
            <w:tcW w:w="1701"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332073412,93</w:t>
            </w:r>
          </w:p>
        </w:tc>
        <w:tc>
          <w:tcPr>
            <w:tcW w:w="1560"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25333421,36</w:t>
            </w:r>
          </w:p>
        </w:tc>
        <w:tc>
          <w:tcPr>
            <w:tcW w:w="1417"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2278343,00</w:t>
            </w:r>
          </w:p>
        </w:tc>
        <w:tc>
          <w:tcPr>
            <w:tcW w:w="1418"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2419315,00</w:t>
            </w:r>
          </w:p>
        </w:tc>
        <w:tc>
          <w:tcPr>
            <w:tcW w:w="1289"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2546806,00</w:t>
            </w:r>
          </w:p>
        </w:tc>
      </w:tr>
      <w:tr w:rsidR="008F46FF" w:rsidRPr="00E245B7" w:rsidTr="005F27B9">
        <w:tc>
          <w:tcPr>
            <w:tcW w:w="2263" w:type="dxa"/>
          </w:tcPr>
          <w:p w:rsidR="008F46FF" w:rsidRPr="00E245B7" w:rsidRDefault="008F46FF" w:rsidP="00512008">
            <w:pPr>
              <w:spacing w:after="0" w:line="240" w:lineRule="auto"/>
              <w:jc w:val="both"/>
              <w:rPr>
                <w:rFonts w:ascii="Times New Roman" w:hAnsi="Times New Roman"/>
                <w:color w:val="000000"/>
                <w:lang w:val="uk-UA" w:eastAsia="ru-RU"/>
              </w:rPr>
            </w:pPr>
            <w:r w:rsidRPr="00E245B7">
              <w:rPr>
                <w:rFonts w:ascii="Times New Roman" w:hAnsi="Times New Roman"/>
                <w:color w:val="000000"/>
                <w:lang w:val="uk-UA" w:eastAsia="ru-RU"/>
              </w:rPr>
              <w:t>Спеціальний фонд</w:t>
            </w:r>
          </w:p>
        </w:tc>
        <w:tc>
          <w:tcPr>
            <w:tcW w:w="1701"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33666868,84</w:t>
            </w:r>
          </w:p>
        </w:tc>
        <w:tc>
          <w:tcPr>
            <w:tcW w:w="1560"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1150000,00</w:t>
            </w:r>
          </w:p>
        </w:tc>
        <w:tc>
          <w:tcPr>
            <w:tcW w:w="1417"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0</w:t>
            </w:r>
          </w:p>
        </w:tc>
        <w:tc>
          <w:tcPr>
            <w:tcW w:w="1418"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0</w:t>
            </w:r>
          </w:p>
        </w:tc>
        <w:tc>
          <w:tcPr>
            <w:tcW w:w="1289" w:type="dxa"/>
          </w:tcPr>
          <w:p w:rsidR="008F46FF" w:rsidRPr="00E245B7" w:rsidRDefault="008F46FF" w:rsidP="00512008">
            <w:pPr>
              <w:spacing w:after="0" w:line="240" w:lineRule="auto"/>
              <w:jc w:val="center"/>
              <w:rPr>
                <w:rFonts w:ascii="Times New Roman" w:hAnsi="Times New Roman"/>
                <w:color w:val="000000"/>
                <w:lang w:val="uk-UA" w:eastAsia="ru-RU"/>
              </w:rPr>
            </w:pPr>
            <w:r w:rsidRPr="00E245B7">
              <w:rPr>
                <w:rFonts w:ascii="Times New Roman" w:hAnsi="Times New Roman"/>
                <w:color w:val="000000"/>
                <w:lang w:val="uk-UA" w:eastAsia="ru-RU"/>
              </w:rPr>
              <w:t>0</w:t>
            </w:r>
          </w:p>
        </w:tc>
      </w:tr>
    </w:tbl>
    <w:p w:rsidR="008F46FF" w:rsidRPr="00E245B7" w:rsidRDefault="008F46FF" w:rsidP="007737FA">
      <w:pPr>
        <w:spacing w:after="0" w:line="240" w:lineRule="auto"/>
        <w:ind w:firstLine="720"/>
        <w:jc w:val="both"/>
        <w:rPr>
          <w:rFonts w:ascii="Times New Roman" w:hAnsi="Times New Roman"/>
          <w:color w:val="000000"/>
          <w:sz w:val="28"/>
          <w:szCs w:val="28"/>
          <w:lang w:val="uk-UA" w:eastAsia="ru-RU"/>
        </w:rPr>
      </w:pPr>
    </w:p>
    <w:p w:rsidR="008F46FF" w:rsidRPr="00E245B7" w:rsidRDefault="008F46FF" w:rsidP="00CB6CCA">
      <w:pPr>
        <w:spacing w:after="0" w:line="240" w:lineRule="auto"/>
        <w:ind w:left="540"/>
        <w:jc w:val="center"/>
        <w:rPr>
          <w:rFonts w:ascii="Times New Roman" w:hAnsi="Times New Roman"/>
          <w:b/>
          <w:sz w:val="28"/>
          <w:szCs w:val="28"/>
          <w:lang w:val="uk-UA" w:eastAsia="ru-RU"/>
        </w:rPr>
      </w:pPr>
    </w:p>
    <w:p w:rsidR="008F46FF" w:rsidRPr="00E245B7" w:rsidRDefault="008F46FF" w:rsidP="00CB6CCA">
      <w:pPr>
        <w:spacing w:after="0" w:line="240" w:lineRule="auto"/>
        <w:ind w:left="540"/>
        <w:jc w:val="center"/>
        <w:rPr>
          <w:rFonts w:ascii="Times New Roman" w:hAnsi="Times New Roman"/>
          <w:b/>
          <w:sz w:val="28"/>
          <w:szCs w:val="28"/>
          <w:lang w:val="uk-UA" w:eastAsia="ru-RU"/>
        </w:rPr>
      </w:pPr>
    </w:p>
    <w:p w:rsidR="008F46FF" w:rsidRPr="00E245B7" w:rsidRDefault="008F46FF" w:rsidP="00CB6CCA">
      <w:pPr>
        <w:spacing w:after="0" w:line="240" w:lineRule="auto"/>
        <w:ind w:left="540"/>
        <w:jc w:val="center"/>
        <w:rPr>
          <w:rFonts w:ascii="Times New Roman" w:hAnsi="Times New Roman"/>
          <w:b/>
          <w:sz w:val="28"/>
          <w:szCs w:val="28"/>
          <w:lang w:val="uk-UA" w:eastAsia="ru-RU"/>
        </w:rPr>
      </w:pPr>
    </w:p>
    <w:p w:rsidR="008F46FF" w:rsidRPr="00E245B7" w:rsidRDefault="008F46FF" w:rsidP="00CB6CCA">
      <w:pPr>
        <w:spacing w:after="0" w:line="240" w:lineRule="auto"/>
        <w:ind w:left="540"/>
        <w:jc w:val="center"/>
        <w:rPr>
          <w:rFonts w:ascii="Times New Roman" w:hAnsi="Times New Roman"/>
          <w:b/>
          <w:sz w:val="28"/>
          <w:szCs w:val="28"/>
          <w:lang w:val="uk-UA" w:eastAsia="ru-RU"/>
        </w:rPr>
      </w:pPr>
      <w:r w:rsidRPr="00E245B7">
        <w:rPr>
          <w:rFonts w:ascii="Times New Roman" w:hAnsi="Times New Roman"/>
          <w:b/>
          <w:sz w:val="28"/>
          <w:szCs w:val="28"/>
          <w:lang w:val="uk-UA" w:eastAsia="ru-RU"/>
        </w:rPr>
        <w:t>ІІІ. Загальні показники бюджету</w:t>
      </w:r>
    </w:p>
    <w:p w:rsidR="008F46FF" w:rsidRPr="00E245B7" w:rsidRDefault="008F46FF" w:rsidP="00CB6CCA">
      <w:pPr>
        <w:spacing w:after="0" w:line="240" w:lineRule="auto"/>
        <w:ind w:left="540"/>
        <w:jc w:val="center"/>
        <w:rPr>
          <w:rFonts w:ascii="Times New Roman" w:hAnsi="Times New Roman"/>
          <w:b/>
          <w:sz w:val="28"/>
          <w:szCs w:val="28"/>
          <w:lang w:val="uk-UA" w:eastAsia="ru-RU"/>
        </w:rPr>
      </w:pPr>
    </w:p>
    <w:p w:rsidR="008F46FF" w:rsidRPr="00E245B7" w:rsidRDefault="008F46FF" w:rsidP="00CB6CCA">
      <w:pPr>
        <w:spacing w:after="0" w:line="240" w:lineRule="auto"/>
        <w:ind w:firstLine="708"/>
        <w:jc w:val="both"/>
        <w:rPr>
          <w:rFonts w:ascii="Times New Roman" w:hAnsi="Times New Roman"/>
          <w:sz w:val="28"/>
          <w:szCs w:val="28"/>
          <w:lang w:val="uk-UA"/>
        </w:rPr>
      </w:pPr>
      <w:r w:rsidRPr="00E245B7">
        <w:rPr>
          <w:rFonts w:ascii="Times New Roman" w:hAnsi="Times New Roman"/>
          <w:sz w:val="28"/>
          <w:szCs w:val="28"/>
          <w:lang w:val="uk-UA"/>
        </w:rPr>
        <w:lastRenderedPageBreak/>
        <w:t>Головним завданням  є зміцнення фінансово-економічної самостійності районного бюджету, що дозволить  в середньостроковому періоді забезпечити стабілізацію економічних процесів, зростання добробуту  та підвищення якості життя населення на базі інвестиційної складової, що є передумовою для розв’язання соціально-економічних проблем та позитивних зрушень в економіці.</w:t>
      </w:r>
    </w:p>
    <w:p w:rsidR="008F46FF" w:rsidRPr="00E245B7" w:rsidRDefault="008F46FF" w:rsidP="0021073F">
      <w:pPr>
        <w:spacing w:after="0" w:line="240" w:lineRule="auto"/>
        <w:ind w:firstLine="720"/>
        <w:jc w:val="both"/>
        <w:rPr>
          <w:rFonts w:ascii="Times New Roman" w:hAnsi="Times New Roman"/>
          <w:sz w:val="28"/>
          <w:szCs w:val="28"/>
          <w:lang w:val="uk-UA" w:eastAsia="ru-RU"/>
        </w:rPr>
      </w:pPr>
      <w:r w:rsidRPr="00E245B7">
        <w:rPr>
          <w:rFonts w:ascii="Times New Roman" w:hAnsi="Times New Roman"/>
          <w:sz w:val="28"/>
          <w:szCs w:val="28"/>
          <w:lang w:val="uk-UA" w:eastAsia="ru-RU"/>
        </w:rPr>
        <w:t>В умовах кількісно невеликої фінансової бази надходжень, на покриття дефіциту бюджету можуть бути спрямовані  вільні залишки бюджету, отримання короткотермінових позичок, зміни до законодавства, що передбачає збільшення джерел надходжень районного бюджету.</w:t>
      </w:r>
    </w:p>
    <w:p w:rsidR="008F46FF" w:rsidRPr="00E245B7" w:rsidRDefault="008F46FF" w:rsidP="0021073F">
      <w:pPr>
        <w:spacing w:after="0" w:line="240" w:lineRule="auto"/>
        <w:ind w:firstLine="720"/>
        <w:jc w:val="both"/>
        <w:rPr>
          <w:rFonts w:ascii="Times New Roman" w:hAnsi="Times New Roman"/>
          <w:sz w:val="28"/>
          <w:szCs w:val="28"/>
          <w:lang w:val="uk-UA" w:eastAsia="ru-RU"/>
        </w:rPr>
      </w:pPr>
      <w:r w:rsidRPr="00E245B7">
        <w:rPr>
          <w:rFonts w:ascii="Times New Roman" w:hAnsi="Times New Roman"/>
          <w:sz w:val="28"/>
          <w:szCs w:val="28"/>
          <w:lang w:val="uk-UA" w:eastAsia="ru-RU"/>
        </w:rPr>
        <w:t>Загальні показники бюджету Рівненського району наведені у Додатку 1</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Загальні граничні показники надходжень (з міжбюджетними трансфертами) по загальному фонду  в розрізі бюджетних періодів становлять:</w:t>
      </w:r>
    </w:p>
    <w:p w:rsidR="008F46FF" w:rsidRPr="00E245B7" w:rsidRDefault="008F46FF" w:rsidP="00CB6CCA">
      <w:pPr>
        <w:numPr>
          <w:ilvl w:val="0"/>
          <w:numId w:val="3"/>
        </w:num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2022 рік– 2278343,00грн,</w:t>
      </w:r>
    </w:p>
    <w:p w:rsidR="008F46FF" w:rsidRPr="00E245B7" w:rsidRDefault="008F46FF" w:rsidP="00CB6CCA">
      <w:pPr>
        <w:numPr>
          <w:ilvl w:val="0"/>
          <w:numId w:val="3"/>
        </w:num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2023 рік -  2419315,00 грн,</w:t>
      </w:r>
    </w:p>
    <w:p w:rsidR="008F46FF" w:rsidRPr="00E245B7" w:rsidRDefault="008F46FF" w:rsidP="00CB6CCA">
      <w:pPr>
        <w:numPr>
          <w:ilvl w:val="0"/>
          <w:numId w:val="3"/>
        </w:num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2024 рік– 2546806,00 гривень.</w:t>
      </w:r>
    </w:p>
    <w:p w:rsidR="008F46FF" w:rsidRPr="00E245B7" w:rsidRDefault="008F46FF" w:rsidP="00FB7B44">
      <w:pPr>
        <w:spacing w:after="0" w:line="240" w:lineRule="auto"/>
        <w:ind w:left="720"/>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Загальні граничні показники видатків (з міжбюджетними трансфертами) по загальному фонду в розрізі бюджетних періодів становлять :</w:t>
      </w:r>
    </w:p>
    <w:p w:rsidR="008F46FF" w:rsidRPr="00E245B7" w:rsidRDefault="008F46FF" w:rsidP="00FB7B44">
      <w:pPr>
        <w:numPr>
          <w:ilvl w:val="0"/>
          <w:numId w:val="3"/>
        </w:num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2022 рік– 2278343,00грн,</w:t>
      </w:r>
    </w:p>
    <w:p w:rsidR="008F46FF" w:rsidRPr="00E245B7" w:rsidRDefault="008F46FF" w:rsidP="00FB7B44">
      <w:pPr>
        <w:numPr>
          <w:ilvl w:val="0"/>
          <w:numId w:val="3"/>
        </w:num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2023 рік -  2419315,00 грн,</w:t>
      </w:r>
    </w:p>
    <w:p w:rsidR="008F46FF" w:rsidRPr="00E245B7" w:rsidRDefault="008F46FF" w:rsidP="00FB7B44">
      <w:pPr>
        <w:numPr>
          <w:ilvl w:val="0"/>
          <w:numId w:val="3"/>
        </w:num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2024 рік– 2546806,00 гривень.</w:t>
      </w:r>
    </w:p>
    <w:p w:rsidR="008F46FF" w:rsidRPr="00E245B7" w:rsidRDefault="008F46FF" w:rsidP="005D4193">
      <w:pPr>
        <w:spacing w:after="0" w:line="240" w:lineRule="auto"/>
        <w:ind w:left="720"/>
        <w:jc w:val="both"/>
        <w:rPr>
          <w:rFonts w:ascii="Times New Roman" w:hAnsi="Times New Roman"/>
          <w:color w:val="000000"/>
          <w:sz w:val="28"/>
          <w:szCs w:val="28"/>
          <w:lang w:val="uk-UA" w:eastAsia="ru-RU"/>
        </w:rPr>
      </w:pPr>
    </w:p>
    <w:p w:rsidR="008F46FF" w:rsidRPr="00E245B7" w:rsidRDefault="008F46FF" w:rsidP="00CC2543">
      <w:pPr>
        <w:shd w:val="clear" w:color="auto" w:fill="FFFFFF"/>
        <w:spacing w:after="0" w:line="240" w:lineRule="auto"/>
        <w:ind w:left="720"/>
        <w:jc w:val="center"/>
        <w:rPr>
          <w:rFonts w:ascii="Times New Roman" w:hAnsi="Times New Roman"/>
          <w:b/>
          <w:sz w:val="28"/>
          <w:szCs w:val="28"/>
          <w:lang w:val="uk-UA" w:eastAsia="ru-RU"/>
        </w:rPr>
      </w:pPr>
      <w:r w:rsidRPr="00E245B7">
        <w:rPr>
          <w:rFonts w:ascii="Times New Roman" w:hAnsi="Times New Roman"/>
          <w:b/>
          <w:sz w:val="28"/>
          <w:szCs w:val="28"/>
          <w:lang w:val="uk-UA" w:eastAsia="ru-RU"/>
        </w:rPr>
        <w:t>ІV. Показники доходів бюджету</w:t>
      </w:r>
    </w:p>
    <w:p w:rsidR="008F46FF" w:rsidRPr="00E245B7" w:rsidRDefault="008F46FF" w:rsidP="00CC2543">
      <w:pPr>
        <w:shd w:val="clear" w:color="auto" w:fill="FFFFFF"/>
        <w:spacing w:after="0" w:line="240" w:lineRule="auto"/>
        <w:ind w:left="720"/>
        <w:jc w:val="center"/>
        <w:rPr>
          <w:rFonts w:ascii="Times New Roman" w:hAnsi="Times New Roman"/>
          <w:b/>
          <w:sz w:val="28"/>
          <w:szCs w:val="28"/>
          <w:lang w:val="uk-UA" w:eastAsia="ru-RU"/>
        </w:rPr>
      </w:pPr>
    </w:p>
    <w:p w:rsidR="008F46FF" w:rsidRPr="00E245B7" w:rsidRDefault="008F46FF" w:rsidP="00CB6CCA">
      <w:pPr>
        <w:shd w:val="clear" w:color="auto" w:fill="FFFFFF"/>
        <w:spacing w:after="0" w:line="240" w:lineRule="auto"/>
        <w:ind w:firstLine="720"/>
        <w:jc w:val="both"/>
        <w:rPr>
          <w:rFonts w:ascii="Times New Roman" w:hAnsi="Times New Roman"/>
          <w:sz w:val="28"/>
          <w:szCs w:val="28"/>
          <w:lang w:val="uk-UA" w:eastAsia="ru-RU"/>
        </w:rPr>
      </w:pPr>
      <w:r w:rsidRPr="00E245B7">
        <w:rPr>
          <w:rFonts w:ascii="Times New Roman" w:hAnsi="Times New Roman"/>
          <w:sz w:val="28"/>
          <w:szCs w:val="28"/>
          <w:lang w:val="uk-UA" w:eastAsia="ru-RU"/>
        </w:rPr>
        <w:t>Прогнозний обсяг дохідної частини розраховується виходячи з діючих норм бюджетно-податкового законодавства, яке передбачає обмежений перелік джерел надходжень, що входять до складу загального фонду районного бюджету.</w:t>
      </w:r>
    </w:p>
    <w:p w:rsidR="008F46FF" w:rsidRPr="00E245B7" w:rsidRDefault="008F46FF" w:rsidP="00CB6CCA">
      <w:pPr>
        <w:shd w:val="clear" w:color="auto" w:fill="FFFFFF"/>
        <w:spacing w:after="0" w:line="240" w:lineRule="auto"/>
        <w:ind w:firstLine="708"/>
        <w:jc w:val="both"/>
        <w:rPr>
          <w:rStyle w:val="rvts9"/>
          <w:rFonts w:ascii="Times New Roman" w:hAnsi="Times New Roman"/>
          <w:bCs/>
          <w:sz w:val="28"/>
          <w:lang w:val="uk-UA"/>
        </w:rPr>
      </w:pPr>
      <w:r w:rsidRPr="00E245B7">
        <w:rPr>
          <w:rFonts w:ascii="Times New Roman" w:hAnsi="Times New Roman"/>
          <w:sz w:val="28"/>
          <w:szCs w:val="28"/>
          <w:lang w:val="uk-UA" w:eastAsia="ru-RU"/>
        </w:rPr>
        <w:t xml:space="preserve">Починаючи з 2021 року, відповідно до  </w:t>
      </w:r>
      <w:r w:rsidRPr="00E245B7">
        <w:rPr>
          <w:rStyle w:val="rvts9"/>
          <w:rFonts w:ascii="Times New Roman" w:hAnsi="Times New Roman"/>
          <w:bCs/>
          <w:sz w:val="28"/>
          <w:lang w:val="uk-UA"/>
        </w:rPr>
        <w:t>ст. 64</w:t>
      </w:r>
      <w:r w:rsidRPr="00E245B7">
        <w:rPr>
          <w:rStyle w:val="rvts37"/>
          <w:rFonts w:ascii="Times New Roman" w:hAnsi="Times New Roman"/>
          <w:bCs/>
          <w:sz w:val="8"/>
          <w:szCs w:val="2"/>
          <w:vertAlign w:val="superscript"/>
          <w:lang w:val="uk-UA"/>
        </w:rPr>
        <w:t>-</w:t>
      </w:r>
      <w:r w:rsidRPr="00E245B7">
        <w:rPr>
          <w:rStyle w:val="rvts37"/>
          <w:rFonts w:ascii="Times New Roman" w:hAnsi="Times New Roman"/>
          <w:bCs/>
          <w:szCs w:val="16"/>
          <w:vertAlign w:val="superscript"/>
          <w:lang w:val="uk-UA"/>
        </w:rPr>
        <w:t xml:space="preserve">1 </w:t>
      </w:r>
      <w:r w:rsidRPr="00E245B7">
        <w:rPr>
          <w:rStyle w:val="rvts9"/>
          <w:rFonts w:ascii="Times New Roman" w:hAnsi="Times New Roman"/>
          <w:bCs/>
          <w:sz w:val="28"/>
          <w:lang w:val="uk-UA"/>
        </w:rPr>
        <w:t>Бюджетного кодексу України, затверджений новий склад доходів загального фонду районних бюджетів, внаслідок чого був вилучений з переліку бюджетоутворюючий податок на доходи фізичних осіб.</w:t>
      </w:r>
    </w:p>
    <w:p w:rsidR="008F46FF" w:rsidRPr="00E245B7" w:rsidRDefault="008F46FF" w:rsidP="00CB6CCA">
      <w:pPr>
        <w:shd w:val="clear" w:color="auto" w:fill="FFFFFF"/>
        <w:spacing w:after="0" w:line="240" w:lineRule="auto"/>
        <w:ind w:firstLine="708"/>
        <w:jc w:val="both"/>
        <w:rPr>
          <w:rFonts w:ascii="Times New Roman" w:hAnsi="Times New Roman"/>
          <w:sz w:val="28"/>
          <w:szCs w:val="28"/>
          <w:lang w:val="uk-UA" w:eastAsia="ru-RU"/>
        </w:rPr>
      </w:pPr>
      <w:r w:rsidRPr="00E245B7">
        <w:rPr>
          <w:rStyle w:val="rvts9"/>
          <w:rFonts w:ascii="Times New Roman" w:hAnsi="Times New Roman"/>
          <w:bCs/>
          <w:sz w:val="28"/>
          <w:lang w:val="uk-UA"/>
        </w:rPr>
        <w:t xml:space="preserve">Фактичне виконання дохідної частини бюджету на час складання прогнозу дозволяє провести аналіз щодо очікуваного надходження до кінця поточного року та  середньострокову перспективу обсягу  неподаткових надходжень. </w:t>
      </w:r>
    </w:p>
    <w:p w:rsidR="008F46FF" w:rsidRPr="00E245B7" w:rsidRDefault="008F46FF" w:rsidP="00CB6CCA">
      <w:pPr>
        <w:shd w:val="clear" w:color="auto" w:fill="FFFFFF"/>
        <w:spacing w:after="0" w:line="240" w:lineRule="auto"/>
        <w:ind w:firstLine="720"/>
        <w:jc w:val="both"/>
        <w:rPr>
          <w:rFonts w:ascii="Times New Roman" w:hAnsi="Times New Roman"/>
          <w:sz w:val="28"/>
          <w:szCs w:val="28"/>
          <w:lang w:val="uk-UA" w:eastAsia="ru-RU"/>
        </w:rPr>
      </w:pPr>
      <w:r w:rsidRPr="00E245B7">
        <w:rPr>
          <w:rFonts w:ascii="Times New Roman" w:hAnsi="Times New Roman"/>
          <w:sz w:val="28"/>
          <w:szCs w:val="28"/>
          <w:lang w:val="uk-UA" w:eastAsia="ru-RU"/>
        </w:rPr>
        <w:t>Прогноз містить негативний фактор в частині значного зменшення надходжень у 2022-2024 роках порівняно з очікуваним виконанням 2021 року. Це зумовлено тим, що впродовж 2021 року до районного бюджету на правах правонаступництва були спрямовані податкові та неподаткові надходження від установ, діяльність яких була реформована внаслідок заходів з децентралізації та зміни адміністративного устрою країни. В подальших періодах, за реалістичним прогнозом, частка разових зарахувань зменшиться і єдиними джерелами надходжень стануть інші надходження.</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lastRenderedPageBreak/>
        <w:t>Доходи (без урахування міжбюджетних трансфертів) становлять:</w:t>
      </w:r>
    </w:p>
    <w:p w:rsidR="008F46FF" w:rsidRPr="00E245B7" w:rsidRDefault="008F46FF" w:rsidP="00CB6CCA">
      <w:pPr>
        <w:numPr>
          <w:ilvl w:val="0"/>
          <w:numId w:val="3"/>
        </w:num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2022 рік по загальному фонду – 100000,00 грн,</w:t>
      </w:r>
    </w:p>
    <w:p w:rsidR="008F46FF" w:rsidRPr="00E245B7" w:rsidRDefault="008F46FF" w:rsidP="00CB6CCA">
      <w:pPr>
        <w:numPr>
          <w:ilvl w:val="0"/>
          <w:numId w:val="3"/>
        </w:num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2023 рік по загальному  фонду –  110000,00 грн,</w:t>
      </w:r>
    </w:p>
    <w:p w:rsidR="008F46FF" w:rsidRPr="00E245B7" w:rsidRDefault="008F46FF" w:rsidP="00CB6CCA">
      <w:pPr>
        <w:numPr>
          <w:ilvl w:val="0"/>
          <w:numId w:val="3"/>
        </w:num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2024 рік по загальному  фонду –  121000,00 гривень.</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sz w:val="28"/>
          <w:szCs w:val="28"/>
          <w:lang w:val="uk-UA" w:eastAsia="ru-RU"/>
        </w:rPr>
        <w:tab/>
        <w:t xml:space="preserve">З них: «Інші надходження» </w:t>
      </w:r>
      <w:r w:rsidRPr="00E245B7">
        <w:rPr>
          <w:rFonts w:ascii="Times New Roman" w:hAnsi="Times New Roman"/>
          <w:color w:val="000000"/>
          <w:sz w:val="28"/>
          <w:szCs w:val="28"/>
          <w:lang w:val="uk-UA" w:eastAsia="ru-RU"/>
        </w:rPr>
        <w:t xml:space="preserve"> з 2022  по 2024 роки  визначено в обсязі 100000,00 грн в 2022 році, 110000,00 грн в 2023 році та 121000,00 грн в 2024 році.</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sz w:val="28"/>
          <w:szCs w:val="28"/>
          <w:lang w:val="uk-UA" w:eastAsia="ru-RU"/>
        </w:rPr>
        <w:tab/>
        <w:t>Трансферти з інших місцевих бюджетів становлять:</w:t>
      </w:r>
    </w:p>
    <w:p w:rsidR="008F46FF" w:rsidRPr="00E245B7" w:rsidRDefault="008F46FF" w:rsidP="00CB6CCA">
      <w:pPr>
        <w:numPr>
          <w:ilvl w:val="0"/>
          <w:numId w:val="3"/>
        </w:num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2022 рік по загальному фонду – 2178343,00 грн,</w:t>
      </w:r>
    </w:p>
    <w:p w:rsidR="008F46FF" w:rsidRPr="00E245B7" w:rsidRDefault="008F46FF" w:rsidP="00CB6CCA">
      <w:pPr>
        <w:numPr>
          <w:ilvl w:val="0"/>
          <w:numId w:val="3"/>
        </w:num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2023 рік по загальному фонду – 2309315,00 грн,</w:t>
      </w:r>
    </w:p>
    <w:p w:rsidR="008F46FF" w:rsidRPr="00E245B7" w:rsidRDefault="008F46FF" w:rsidP="00CB6CCA">
      <w:pPr>
        <w:numPr>
          <w:ilvl w:val="0"/>
          <w:numId w:val="3"/>
        </w:num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2024 рік по загальному фонду – 2425806,00 гривень.</w:t>
      </w:r>
    </w:p>
    <w:p w:rsidR="008F46FF" w:rsidRPr="00E245B7" w:rsidRDefault="008F46FF" w:rsidP="00CB6CCA">
      <w:pPr>
        <w:shd w:val="clear" w:color="auto" w:fill="FFFFFF"/>
        <w:spacing w:after="0" w:line="240" w:lineRule="auto"/>
        <w:jc w:val="both"/>
        <w:rPr>
          <w:rFonts w:ascii="Times New Roman" w:hAnsi="Times New Roman"/>
          <w:sz w:val="28"/>
          <w:szCs w:val="28"/>
          <w:lang w:val="uk-UA" w:eastAsia="ru-RU"/>
        </w:rPr>
      </w:pPr>
      <w:r w:rsidRPr="00E245B7">
        <w:rPr>
          <w:rFonts w:ascii="Times New Roman" w:hAnsi="Times New Roman"/>
          <w:sz w:val="28"/>
          <w:szCs w:val="28"/>
          <w:lang w:val="uk-UA" w:eastAsia="ru-RU"/>
        </w:rPr>
        <w:t>Показники доходів бюджету Рівненського району наведені  у Додатку 2.</w:t>
      </w:r>
    </w:p>
    <w:p w:rsidR="008F46FF" w:rsidRPr="00E245B7" w:rsidRDefault="008F46FF" w:rsidP="00CB6CCA">
      <w:pPr>
        <w:shd w:val="clear" w:color="auto" w:fill="FFFFFF"/>
        <w:spacing w:after="0" w:line="240" w:lineRule="auto"/>
        <w:jc w:val="both"/>
        <w:rPr>
          <w:rFonts w:ascii="Times New Roman" w:hAnsi="Times New Roman"/>
          <w:sz w:val="28"/>
          <w:szCs w:val="28"/>
          <w:lang w:val="uk-UA" w:eastAsia="ru-RU"/>
        </w:rPr>
      </w:pPr>
    </w:p>
    <w:p w:rsidR="008F46FF" w:rsidRPr="00E245B7" w:rsidRDefault="008F46FF" w:rsidP="00557428">
      <w:pPr>
        <w:shd w:val="clear" w:color="auto" w:fill="FFFFFF"/>
        <w:spacing w:after="0" w:line="240" w:lineRule="auto"/>
        <w:jc w:val="center"/>
        <w:rPr>
          <w:rFonts w:ascii="Times New Roman" w:hAnsi="Times New Roman"/>
          <w:b/>
          <w:sz w:val="28"/>
          <w:szCs w:val="28"/>
          <w:lang w:val="uk-UA" w:eastAsia="ru-RU"/>
        </w:rPr>
      </w:pPr>
      <w:r w:rsidRPr="00E245B7">
        <w:rPr>
          <w:rFonts w:ascii="Times New Roman" w:hAnsi="Times New Roman"/>
          <w:b/>
          <w:sz w:val="28"/>
          <w:szCs w:val="28"/>
          <w:lang w:val="uk-UA" w:eastAsia="ru-RU"/>
        </w:rPr>
        <w:t>V. Показники фінансування бюджету, показники місцевого боргу, гарантованого Автономною Республікою Крим, обласною радою чи територіальною громадою міста боргу та надання місцевих гарантій</w:t>
      </w:r>
    </w:p>
    <w:p w:rsidR="008F46FF" w:rsidRPr="00E245B7" w:rsidRDefault="008F46FF" w:rsidP="00557428">
      <w:pPr>
        <w:shd w:val="clear" w:color="auto" w:fill="FFFFFF"/>
        <w:spacing w:after="0" w:line="240" w:lineRule="auto"/>
        <w:jc w:val="center"/>
        <w:rPr>
          <w:rFonts w:ascii="Times New Roman" w:hAnsi="Times New Roman"/>
          <w:b/>
          <w:sz w:val="28"/>
          <w:szCs w:val="28"/>
          <w:lang w:val="uk-UA" w:eastAsia="ru-RU"/>
        </w:rPr>
      </w:pPr>
    </w:p>
    <w:p w:rsidR="008F46FF" w:rsidRPr="00E245B7" w:rsidRDefault="008F46FF" w:rsidP="00CB6CCA">
      <w:pPr>
        <w:spacing w:after="0" w:line="240" w:lineRule="auto"/>
        <w:ind w:firstLine="708"/>
        <w:jc w:val="both"/>
        <w:rPr>
          <w:rFonts w:ascii="Times New Roman" w:hAnsi="Times New Roman"/>
          <w:color w:val="000000"/>
          <w:sz w:val="24"/>
          <w:szCs w:val="24"/>
          <w:lang w:val="uk-UA" w:eastAsia="ru-RU"/>
        </w:rPr>
      </w:pPr>
      <w:r w:rsidRPr="00E245B7">
        <w:rPr>
          <w:rFonts w:ascii="Times New Roman" w:hAnsi="Times New Roman"/>
          <w:color w:val="000000"/>
          <w:sz w:val="28"/>
          <w:szCs w:val="28"/>
          <w:lang w:val="uk-UA" w:eastAsia="ru-RU"/>
        </w:rPr>
        <w:t>Прогнозом залучення джерел фінансування на середньостроковий період  не передбачається  на дату  його складання, що відображено в Додатку 3</w:t>
      </w:r>
      <w:r w:rsidRPr="00E245B7">
        <w:rPr>
          <w:rFonts w:ascii="Times New Roman" w:hAnsi="Times New Roman"/>
          <w:color w:val="000000"/>
          <w:sz w:val="24"/>
          <w:szCs w:val="24"/>
          <w:lang w:val="uk-UA" w:eastAsia="ru-RU"/>
        </w:rPr>
        <w:t>.</w:t>
      </w:r>
    </w:p>
    <w:p w:rsidR="008F46FF" w:rsidRPr="00E245B7" w:rsidRDefault="008F46FF" w:rsidP="00CB6CCA">
      <w:pPr>
        <w:spacing w:after="0" w:line="240" w:lineRule="auto"/>
        <w:ind w:firstLine="708"/>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Видатки на обслуговування місцевого боргу та місцевих гарантій не прогнозуються, оскільки, запозичення до районного бюджету та надання гарантій не  плануються і на початок 2022 року передбачається, що боргові зобов</w:t>
      </w:r>
      <w:r w:rsidRPr="00E245B7">
        <w:rPr>
          <w:rFonts w:ascii="Times New Roman" w:hAnsi="Times New Roman"/>
          <w:sz w:val="28"/>
          <w:szCs w:val="28"/>
          <w:lang w:val="uk-UA" w:eastAsia="ru-RU"/>
        </w:rPr>
        <w:t>’язання будуть відсутні, що відображено в  Додатках  4 та 5 Прогнозу.</w:t>
      </w:r>
    </w:p>
    <w:p w:rsidR="008F46FF" w:rsidRPr="00E245B7" w:rsidRDefault="008F46FF" w:rsidP="00CB6CCA">
      <w:pPr>
        <w:spacing w:after="0" w:line="240" w:lineRule="auto"/>
        <w:jc w:val="both"/>
        <w:rPr>
          <w:rFonts w:ascii="Times New Roman" w:hAnsi="Times New Roman"/>
          <w:color w:val="000000"/>
          <w:sz w:val="28"/>
          <w:szCs w:val="28"/>
          <w:lang w:val="uk-UA" w:eastAsia="ru-RU"/>
        </w:rPr>
      </w:pPr>
    </w:p>
    <w:p w:rsidR="008F46FF" w:rsidRPr="00E245B7" w:rsidRDefault="008F46FF" w:rsidP="00CB6CCA">
      <w:pPr>
        <w:shd w:val="clear" w:color="auto" w:fill="FFFFFF"/>
        <w:spacing w:after="0" w:line="240" w:lineRule="auto"/>
        <w:ind w:firstLine="709"/>
        <w:jc w:val="both"/>
        <w:rPr>
          <w:rFonts w:ascii="Times New Roman" w:hAnsi="Times New Roman"/>
          <w:b/>
          <w:sz w:val="28"/>
          <w:szCs w:val="28"/>
          <w:lang w:val="uk-UA" w:eastAsia="ru-RU"/>
        </w:rPr>
      </w:pPr>
      <w:r w:rsidRPr="00E245B7">
        <w:rPr>
          <w:rFonts w:ascii="Times New Roman" w:hAnsi="Times New Roman"/>
          <w:b/>
          <w:sz w:val="28"/>
          <w:szCs w:val="28"/>
          <w:lang w:val="uk-UA" w:eastAsia="ru-RU"/>
        </w:rPr>
        <w:t>VІ. Показники видатків бюджету та надання кредитів з бюджету</w:t>
      </w:r>
    </w:p>
    <w:p w:rsidR="008F46FF" w:rsidRPr="00E245B7" w:rsidRDefault="008F46FF" w:rsidP="00CB6CCA">
      <w:pPr>
        <w:shd w:val="clear" w:color="auto" w:fill="FFFFFF"/>
        <w:spacing w:after="0" w:line="240" w:lineRule="auto"/>
        <w:ind w:firstLine="709"/>
        <w:jc w:val="both"/>
        <w:rPr>
          <w:rFonts w:ascii="Times New Roman" w:hAnsi="Times New Roman"/>
          <w:b/>
          <w:sz w:val="28"/>
          <w:szCs w:val="28"/>
          <w:lang w:val="uk-UA" w:eastAsia="ru-RU"/>
        </w:rPr>
      </w:pPr>
    </w:p>
    <w:p w:rsidR="008F46FF" w:rsidRPr="00E245B7" w:rsidRDefault="008F46FF" w:rsidP="00CB6CCA">
      <w:pPr>
        <w:shd w:val="clear" w:color="auto" w:fill="FFFFFF"/>
        <w:spacing w:after="0" w:line="240" w:lineRule="auto"/>
        <w:ind w:firstLine="709"/>
        <w:jc w:val="both"/>
        <w:rPr>
          <w:rFonts w:ascii="Times New Roman" w:hAnsi="Times New Roman"/>
          <w:sz w:val="28"/>
          <w:szCs w:val="28"/>
          <w:lang w:val="uk-UA"/>
        </w:rPr>
      </w:pPr>
      <w:r w:rsidRPr="00E245B7">
        <w:rPr>
          <w:rFonts w:ascii="Times New Roman" w:hAnsi="Times New Roman"/>
          <w:sz w:val="28"/>
          <w:szCs w:val="28"/>
          <w:lang w:val="uk-UA"/>
        </w:rPr>
        <w:t>Ключовим завданням бюджетної політики у сфері видатків  залишатиметься забезпечення макроекономічної стабільності, стійкості та збалансованості бюджетної системи. Фінансування бюджетних видатків на період до 2024 року здійснюватиметься в рамках жорсткої економії бюджетних коштів. У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p>
    <w:p w:rsidR="008F46FF" w:rsidRPr="00E245B7" w:rsidRDefault="008F46FF" w:rsidP="00CB6CCA">
      <w:pPr>
        <w:shd w:val="clear" w:color="auto" w:fill="FFFFFF"/>
        <w:spacing w:after="0" w:line="240" w:lineRule="auto"/>
        <w:ind w:firstLine="709"/>
        <w:jc w:val="both"/>
        <w:rPr>
          <w:rFonts w:ascii="Times New Roman" w:hAnsi="Times New Roman"/>
          <w:sz w:val="28"/>
          <w:szCs w:val="28"/>
          <w:lang w:val="uk-UA"/>
        </w:rPr>
      </w:pPr>
      <w:r w:rsidRPr="00E245B7">
        <w:rPr>
          <w:rFonts w:ascii="Times New Roman" w:hAnsi="Times New Roman"/>
          <w:sz w:val="28"/>
          <w:szCs w:val="28"/>
          <w:lang w:val="uk-UA"/>
        </w:rPr>
        <w:t>У середньостроковому періоді бюджетна система України функціонуватиме на засадах Бюджетного кодексу України зі змінами і доповненнями, положення якого, зокрема врегульовують питання запровадження механізму середньострокового бюджетного прогнозування, посилення взаємозв’язку економічної, бюджетної, податкової та грошово-кредитної політики, підвищення відповідальності учасників бюджетного процесу.</w:t>
      </w:r>
    </w:p>
    <w:p w:rsidR="008F46FF" w:rsidRPr="00E245B7" w:rsidRDefault="008F46FF" w:rsidP="00CB6CCA">
      <w:pPr>
        <w:shd w:val="clear" w:color="auto" w:fill="FFFFFF"/>
        <w:spacing w:after="0" w:line="240" w:lineRule="auto"/>
        <w:ind w:firstLine="709"/>
        <w:jc w:val="both"/>
        <w:rPr>
          <w:rFonts w:ascii="Times New Roman" w:hAnsi="Times New Roman"/>
          <w:sz w:val="28"/>
          <w:szCs w:val="28"/>
          <w:lang w:val="uk-UA"/>
        </w:rPr>
      </w:pPr>
      <w:r w:rsidRPr="00E245B7">
        <w:rPr>
          <w:rFonts w:ascii="Times New Roman" w:hAnsi="Times New Roman"/>
          <w:sz w:val="28"/>
          <w:szCs w:val="28"/>
          <w:lang w:val="uk-UA"/>
        </w:rPr>
        <w:t>Для підвищення рівня та ефективності використання бюджетних коштів у 2022-2024 роках передбачається:</w:t>
      </w:r>
    </w:p>
    <w:p w:rsidR="008F46FF" w:rsidRPr="00E245B7" w:rsidRDefault="008F46FF" w:rsidP="00CB6CCA">
      <w:pPr>
        <w:shd w:val="clear" w:color="auto" w:fill="FFFFFF"/>
        <w:spacing w:after="0" w:line="240" w:lineRule="auto"/>
        <w:ind w:firstLine="709"/>
        <w:jc w:val="both"/>
        <w:rPr>
          <w:rFonts w:ascii="Times New Roman" w:hAnsi="Times New Roman"/>
          <w:sz w:val="28"/>
          <w:szCs w:val="28"/>
          <w:lang w:val="uk-UA"/>
        </w:rPr>
      </w:pPr>
      <w:r w:rsidRPr="00E245B7">
        <w:rPr>
          <w:rFonts w:ascii="Times New Roman" w:hAnsi="Times New Roman"/>
          <w:sz w:val="28"/>
          <w:szCs w:val="28"/>
          <w:lang w:val="uk-UA"/>
        </w:rPr>
        <w:lastRenderedPageBreak/>
        <w:t>- підготовка пропозицій з удосконалення нормативно-правової та методологічної бази з урахуванням результатів запровадження ПЦМ на рівні місцевих бюджетів;</w:t>
      </w:r>
    </w:p>
    <w:p w:rsidR="008F46FF" w:rsidRPr="00E245B7" w:rsidRDefault="008F46FF" w:rsidP="00CB6CCA">
      <w:pPr>
        <w:shd w:val="clear" w:color="auto" w:fill="FFFFFF"/>
        <w:spacing w:after="0" w:line="240" w:lineRule="auto"/>
        <w:ind w:firstLine="709"/>
        <w:jc w:val="both"/>
        <w:rPr>
          <w:rFonts w:ascii="Times New Roman" w:hAnsi="Times New Roman"/>
          <w:sz w:val="28"/>
          <w:szCs w:val="28"/>
          <w:lang w:val="uk-UA"/>
        </w:rPr>
      </w:pPr>
      <w:r w:rsidRPr="00E245B7">
        <w:rPr>
          <w:rFonts w:ascii="Times New Roman" w:hAnsi="Times New Roman"/>
          <w:sz w:val="28"/>
          <w:szCs w:val="28"/>
          <w:lang w:val="uk-UA"/>
        </w:rPr>
        <w:t>- моніторинг виконання бюджетних програм місцевих бюджетів, проведення оцінки ефективності та результативності їх виконання;</w:t>
      </w:r>
    </w:p>
    <w:p w:rsidR="008F46FF" w:rsidRPr="00E245B7" w:rsidRDefault="008F46FF" w:rsidP="00CB6CCA">
      <w:pPr>
        <w:shd w:val="clear" w:color="auto" w:fill="FFFFFF"/>
        <w:spacing w:after="0" w:line="240" w:lineRule="auto"/>
        <w:ind w:firstLine="709"/>
        <w:jc w:val="both"/>
        <w:rPr>
          <w:rFonts w:ascii="Times New Roman" w:hAnsi="Times New Roman"/>
          <w:sz w:val="28"/>
          <w:szCs w:val="28"/>
          <w:lang w:val="uk-UA"/>
        </w:rPr>
      </w:pPr>
      <w:r w:rsidRPr="00E245B7">
        <w:rPr>
          <w:rFonts w:ascii="Times New Roman" w:hAnsi="Times New Roman"/>
          <w:sz w:val="28"/>
          <w:szCs w:val="28"/>
          <w:lang w:val="uk-UA"/>
        </w:rPr>
        <w:t>- застосування програмного забезпечення в частині планування та обслуговування місцевих бюджетів за ПЦМ;</w:t>
      </w:r>
    </w:p>
    <w:p w:rsidR="008F46FF" w:rsidRPr="00E245B7" w:rsidRDefault="008F46FF" w:rsidP="00CB6CCA">
      <w:pPr>
        <w:shd w:val="clear" w:color="auto" w:fill="FFFFFF"/>
        <w:spacing w:after="0" w:line="240" w:lineRule="auto"/>
        <w:ind w:firstLine="709"/>
        <w:jc w:val="both"/>
        <w:rPr>
          <w:rFonts w:ascii="Times New Roman" w:hAnsi="Times New Roman"/>
          <w:sz w:val="28"/>
          <w:szCs w:val="28"/>
          <w:lang w:val="uk-UA"/>
        </w:rPr>
      </w:pPr>
      <w:r w:rsidRPr="00E245B7">
        <w:rPr>
          <w:rFonts w:ascii="Times New Roman" w:hAnsi="Times New Roman"/>
          <w:sz w:val="28"/>
          <w:szCs w:val="28"/>
          <w:lang w:val="uk-UA"/>
        </w:rPr>
        <w:t>Розробка методологічних засад планування місцевих бюджетів на середньострокову перспективу полягатиме у оцінці ефективності виконання бюджетних програм за попередній бюджетний період, перегляді та оцінці законодавства, що надає підстави для здійснення витрат з районного бюджету, формуванні переліку бюджетних програм на плановий та наступні за плановим два бюджетні періоди.</w:t>
      </w:r>
    </w:p>
    <w:p w:rsidR="008F46FF" w:rsidRPr="00E245B7" w:rsidRDefault="008F46FF" w:rsidP="00CB6CCA">
      <w:pPr>
        <w:spacing w:after="0" w:line="240" w:lineRule="auto"/>
        <w:ind w:firstLine="708"/>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 xml:space="preserve">Граничні показники видатків  районного бюджету та надання кредитів з районного бюджету головним розпорядникам коштів відображені в Додатку 6 до Прогнозу і становлять: </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ab/>
        <w:t xml:space="preserve">- на  2022рік  по загальному  фонду - 2278343,00 грн., з них : </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утримання виконавчого апарату районної ради передбачено 100000,00 грн;</w:t>
      </w:r>
    </w:p>
    <w:p w:rsidR="008F46FF" w:rsidRPr="00E245B7" w:rsidRDefault="008F46FF" w:rsidP="00CB6CCA">
      <w:pPr>
        <w:spacing w:after="0" w:line="240" w:lineRule="auto"/>
        <w:jc w:val="both"/>
        <w:rPr>
          <w:rFonts w:ascii="Times New Roman" w:hAnsi="Times New Roman"/>
          <w:iCs/>
          <w:color w:val="000000"/>
          <w:sz w:val="28"/>
          <w:szCs w:val="28"/>
          <w:shd w:val="clear" w:color="auto" w:fill="FFFFFF"/>
          <w:lang w:val="uk-UA"/>
        </w:rPr>
      </w:pPr>
      <w:r w:rsidRPr="00E245B7">
        <w:rPr>
          <w:rFonts w:ascii="Times New Roman" w:hAnsi="Times New Roman"/>
          <w:color w:val="000000"/>
          <w:sz w:val="28"/>
          <w:szCs w:val="28"/>
          <w:lang w:val="uk-UA" w:eastAsia="ru-RU"/>
        </w:rPr>
        <w:t xml:space="preserve"> за рахунок міжбюджетних трансфертів територіальних громад для </w:t>
      </w:r>
      <w:r w:rsidRPr="00E245B7">
        <w:rPr>
          <w:rFonts w:ascii="Times New Roman" w:hAnsi="Times New Roman"/>
          <w:sz w:val="28"/>
          <w:szCs w:val="28"/>
          <w:lang w:val="uk-UA"/>
        </w:rPr>
        <w:t xml:space="preserve">управління соціального захисту населення районної державної адміністрації передбачено кошти в сумі 2063343,00 грн (на </w:t>
      </w:r>
      <w:r w:rsidRPr="00E245B7">
        <w:rPr>
          <w:rFonts w:ascii="Times New Roman" w:hAnsi="Times New Roman"/>
          <w:color w:val="000000"/>
          <w:sz w:val="28"/>
          <w:szCs w:val="28"/>
          <w:shd w:val="clear" w:color="auto" w:fill="FFFFFF"/>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- 1963728,00 грн, на</w:t>
      </w:r>
      <w:r w:rsidR="00BE1E03">
        <w:rPr>
          <w:rFonts w:ascii="Times New Roman" w:hAnsi="Times New Roman"/>
          <w:color w:val="000000"/>
          <w:sz w:val="28"/>
          <w:szCs w:val="28"/>
          <w:shd w:val="clear" w:color="auto" w:fill="FFFFFF"/>
          <w:lang w:val="uk-UA"/>
        </w:rPr>
        <w:t xml:space="preserve"> </w:t>
      </w:r>
      <w:r w:rsidRPr="00E245B7">
        <w:rPr>
          <w:rFonts w:ascii="Times New Roman" w:hAnsi="Times New Roman"/>
          <w:iCs/>
          <w:color w:val="000000"/>
          <w:sz w:val="28"/>
          <w:szCs w:val="28"/>
          <w:shd w:val="clear" w:color="auto" w:fill="FFFFFF"/>
          <w:lang w:val="uk-UA"/>
        </w:rPr>
        <w:t>надання пільг окремим категоріям громадян з оплати послуг  зв'язку - 99615,00 грн;</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iCs/>
          <w:color w:val="000000"/>
          <w:sz w:val="28"/>
          <w:szCs w:val="28"/>
          <w:shd w:val="clear" w:color="auto" w:fill="FFFFFF"/>
          <w:lang w:val="uk-UA"/>
        </w:rPr>
        <w:t xml:space="preserve">  для Рівненської районної державної адміністрації на фінансову підтримку на утримання місцевих осередків (рад) всеукраїнських об'єднань фізкультурно-спортивної спрямованості, т</w:t>
      </w:r>
      <w:r w:rsidRPr="00E245B7">
        <w:rPr>
          <w:rFonts w:ascii="Times New Roman" w:hAnsi="Times New Roman"/>
          <w:color w:val="000000"/>
          <w:sz w:val="28"/>
          <w:szCs w:val="28"/>
          <w:lang w:val="uk-UA" w:eastAsia="ru-RU"/>
        </w:rPr>
        <w:t>овариство  «Колос» - 115000,00 грн);</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4"/>
          <w:szCs w:val="24"/>
          <w:lang w:val="uk-UA" w:eastAsia="ru-RU"/>
        </w:rPr>
        <w:tab/>
      </w:r>
      <w:r w:rsidRPr="00E245B7">
        <w:rPr>
          <w:rFonts w:ascii="Times New Roman" w:hAnsi="Times New Roman"/>
          <w:color w:val="000000"/>
          <w:sz w:val="28"/>
          <w:szCs w:val="28"/>
          <w:lang w:val="uk-UA" w:eastAsia="ru-RU"/>
        </w:rPr>
        <w:t>- на 2023 рік по загальному  фонду– 2419315,00 грн, з них :</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на  утримання виконавчого апарату районної ради передбачено 110000,00 грн;</w:t>
      </w:r>
    </w:p>
    <w:p w:rsidR="008F46FF" w:rsidRPr="00E245B7" w:rsidRDefault="008F46FF" w:rsidP="00CB6CCA">
      <w:pPr>
        <w:spacing w:after="0" w:line="240" w:lineRule="auto"/>
        <w:jc w:val="both"/>
        <w:rPr>
          <w:rFonts w:ascii="Times New Roman" w:hAnsi="Times New Roman"/>
          <w:iCs/>
          <w:color w:val="000000"/>
          <w:sz w:val="28"/>
          <w:szCs w:val="28"/>
          <w:shd w:val="clear" w:color="auto" w:fill="FFFFFF"/>
          <w:lang w:val="uk-UA"/>
        </w:rPr>
      </w:pPr>
      <w:r w:rsidRPr="00E245B7">
        <w:rPr>
          <w:rFonts w:ascii="Times New Roman" w:hAnsi="Times New Roman"/>
          <w:color w:val="000000"/>
          <w:sz w:val="28"/>
          <w:szCs w:val="28"/>
          <w:lang w:val="uk-UA" w:eastAsia="ru-RU"/>
        </w:rPr>
        <w:t xml:space="preserve">за рахунок міжбюджетних трансфертів територіальних громад для </w:t>
      </w:r>
      <w:r w:rsidRPr="00E245B7">
        <w:rPr>
          <w:rFonts w:ascii="Times New Roman" w:hAnsi="Times New Roman"/>
          <w:sz w:val="28"/>
          <w:szCs w:val="28"/>
          <w:lang w:val="uk-UA"/>
        </w:rPr>
        <w:t xml:space="preserve">управління соціального захисту населення районної державної адміністрації передбачено кошти в сумі 2183315,00 грн (на </w:t>
      </w:r>
      <w:r w:rsidRPr="00E245B7">
        <w:rPr>
          <w:rFonts w:ascii="Times New Roman" w:hAnsi="Times New Roman"/>
          <w:color w:val="000000"/>
          <w:sz w:val="28"/>
          <w:szCs w:val="28"/>
          <w:shd w:val="clear" w:color="auto" w:fill="FFFFFF"/>
          <w:lang w:val="uk-UA"/>
        </w:rPr>
        <w:t xml:space="preserve">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- 2080580,00 грн, на </w:t>
      </w:r>
      <w:r w:rsidRPr="00E245B7">
        <w:rPr>
          <w:rFonts w:ascii="Times New Roman" w:hAnsi="Times New Roman"/>
          <w:iCs/>
          <w:color w:val="000000"/>
          <w:sz w:val="28"/>
          <w:szCs w:val="28"/>
          <w:shd w:val="clear" w:color="auto" w:fill="FFFFFF"/>
          <w:lang w:val="uk-UA"/>
        </w:rPr>
        <w:t>надання пільг окремим категоріям громадян з оплати послуг  зв'язку - 102735,00 грн;</w:t>
      </w:r>
    </w:p>
    <w:p w:rsidR="008F46FF" w:rsidRPr="00E245B7" w:rsidRDefault="008F46FF" w:rsidP="00CB6CCA">
      <w:pPr>
        <w:spacing w:after="0" w:line="240" w:lineRule="auto"/>
        <w:jc w:val="both"/>
        <w:rPr>
          <w:rFonts w:ascii="Times New Roman" w:hAnsi="Times New Roman"/>
          <w:color w:val="000000"/>
          <w:sz w:val="24"/>
          <w:szCs w:val="24"/>
          <w:lang w:val="uk-UA" w:eastAsia="ru-RU"/>
        </w:rPr>
      </w:pPr>
      <w:r w:rsidRPr="00E245B7">
        <w:rPr>
          <w:rFonts w:ascii="Times New Roman" w:hAnsi="Times New Roman"/>
          <w:iCs/>
          <w:color w:val="000000"/>
          <w:sz w:val="28"/>
          <w:szCs w:val="28"/>
          <w:shd w:val="clear" w:color="auto" w:fill="FFFFFF"/>
          <w:lang w:val="uk-UA"/>
        </w:rPr>
        <w:t>для Рівненської районної державної адміністрації на фінансову підтримку на утримання місцевих осередків (рад) всеукраїнських об'єднань фізкультурно-спортивної спрямованості</w:t>
      </w:r>
      <w:r w:rsidRPr="00E245B7">
        <w:rPr>
          <w:rFonts w:ascii="Times New Roman" w:hAnsi="Times New Roman"/>
          <w:color w:val="000000"/>
          <w:sz w:val="28"/>
          <w:szCs w:val="28"/>
          <w:lang w:val="uk-UA" w:eastAsia="ru-RU"/>
        </w:rPr>
        <w:t>, товариство «Колос» -126000,00 грн) ;</w:t>
      </w:r>
    </w:p>
    <w:p w:rsidR="008F46FF" w:rsidRPr="00E245B7" w:rsidRDefault="008F46FF" w:rsidP="002660C5">
      <w:pPr>
        <w:spacing w:after="0" w:line="240" w:lineRule="auto"/>
        <w:ind w:firstLine="708"/>
        <w:jc w:val="both"/>
        <w:rPr>
          <w:rFonts w:ascii="Times New Roman" w:hAnsi="Times New Roman"/>
          <w:color w:val="000000"/>
          <w:sz w:val="24"/>
          <w:szCs w:val="24"/>
          <w:lang w:val="uk-UA" w:eastAsia="ru-RU"/>
        </w:rPr>
      </w:pPr>
      <w:r w:rsidRPr="00E245B7">
        <w:rPr>
          <w:rFonts w:ascii="Times New Roman" w:hAnsi="Times New Roman"/>
          <w:color w:val="000000"/>
          <w:sz w:val="28"/>
          <w:szCs w:val="28"/>
          <w:lang w:val="uk-UA" w:eastAsia="ru-RU"/>
        </w:rPr>
        <w:t>-   на 2024 рік по загальному фонду- 2546806,00 грн.</w:t>
      </w:r>
      <w:r w:rsidR="00BE1E03">
        <w:rPr>
          <w:rFonts w:ascii="Times New Roman" w:hAnsi="Times New Roman"/>
          <w:color w:val="000000"/>
          <w:sz w:val="28"/>
          <w:szCs w:val="28"/>
          <w:lang w:val="uk-UA" w:eastAsia="ru-RU"/>
        </w:rPr>
        <w:t>,</w:t>
      </w:r>
      <w:r w:rsidRPr="00E245B7">
        <w:rPr>
          <w:rFonts w:ascii="Times New Roman" w:hAnsi="Times New Roman"/>
          <w:color w:val="000000"/>
          <w:sz w:val="28"/>
          <w:szCs w:val="28"/>
          <w:lang w:val="uk-UA" w:eastAsia="ru-RU"/>
        </w:rPr>
        <w:t xml:space="preserve"> з них :</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 xml:space="preserve">на  утримання виконавчого апарату районної ради передбачено 121000,00 грн; </w:t>
      </w:r>
    </w:p>
    <w:p w:rsidR="008F46FF" w:rsidRPr="00E245B7" w:rsidRDefault="008F46FF" w:rsidP="00CB6CCA">
      <w:pPr>
        <w:spacing w:after="0" w:line="240" w:lineRule="auto"/>
        <w:jc w:val="both"/>
        <w:rPr>
          <w:rFonts w:ascii="Times New Roman" w:hAnsi="Times New Roman"/>
          <w:iCs/>
          <w:color w:val="000000"/>
          <w:sz w:val="28"/>
          <w:szCs w:val="28"/>
          <w:shd w:val="clear" w:color="auto" w:fill="FFFFFF"/>
          <w:lang w:val="uk-UA"/>
        </w:rPr>
      </w:pPr>
      <w:r w:rsidRPr="00E245B7">
        <w:rPr>
          <w:rFonts w:ascii="Times New Roman" w:hAnsi="Times New Roman"/>
          <w:color w:val="000000"/>
          <w:sz w:val="28"/>
          <w:szCs w:val="28"/>
          <w:lang w:val="uk-UA" w:eastAsia="ru-RU"/>
        </w:rPr>
        <w:t xml:space="preserve"> за рахунок міжбюджетних трансфертів територіальних громад для </w:t>
      </w:r>
      <w:r w:rsidRPr="00E245B7">
        <w:rPr>
          <w:rFonts w:ascii="Times New Roman" w:hAnsi="Times New Roman"/>
          <w:sz w:val="28"/>
          <w:szCs w:val="28"/>
          <w:lang w:val="uk-UA"/>
        </w:rPr>
        <w:t xml:space="preserve">управління соціального захисту населення районної державної адміністрації передбачено </w:t>
      </w:r>
      <w:r w:rsidRPr="00E245B7">
        <w:rPr>
          <w:rFonts w:ascii="Times New Roman" w:hAnsi="Times New Roman"/>
          <w:sz w:val="28"/>
          <w:szCs w:val="28"/>
          <w:lang w:val="uk-UA"/>
        </w:rPr>
        <w:lastRenderedPageBreak/>
        <w:t xml:space="preserve">кошти в сумі 2337826,00грн (на </w:t>
      </w:r>
      <w:r w:rsidRPr="00E245B7">
        <w:rPr>
          <w:rFonts w:ascii="Times New Roman" w:hAnsi="Times New Roman"/>
          <w:color w:val="000000"/>
          <w:sz w:val="28"/>
          <w:szCs w:val="28"/>
          <w:shd w:val="clear" w:color="auto" w:fill="FFFFFF"/>
          <w:lang w:val="uk-UA"/>
        </w:rPr>
        <w:t xml:space="preserve">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-2183971,00 грн, на </w:t>
      </w:r>
      <w:r w:rsidRPr="00E245B7">
        <w:rPr>
          <w:rFonts w:ascii="Times New Roman" w:hAnsi="Times New Roman"/>
          <w:iCs/>
          <w:color w:val="000000"/>
          <w:sz w:val="28"/>
          <w:szCs w:val="28"/>
          <w:shd w:val="clear" w:color="auto" w:fill="FFFFFF"/>
          <w:lang w:val="uk-UA"/>
        </w:rPr>
        <w:t>надання пільг окремим категоріям громадян з оплати    послуг зв'язку - 153855,00 грн;</w:t>
      </w:r>
    </w:p>
    <w:p w:rsidR="008F46FF" w:rsidRPr="00E245B7" w:rsidRDefault="008F46FF" w:rsidP="00CB6CCA">
      <w:pPr>
        <w:spacing w:after="0" w:line="240" w:lineRule="auto"/>
        <w:jc w:val="both"/>
        <w:rPr>
          <w:rFonts w:ascii="Times New Roman" w:hAnsi="Times New Roman"/>
          <w:color w:val="000000"/>
          <w:sz w:val="24"/>
          <w:szCs w:val="24"/>
          <w:lang w:val="uk-UA" w:eastAsia="ru-RU"/>
        </w:rPr>
      </w:pPr>
      <w:r w:rsidRPr="00E245B7">
        <w:rPr>
          <w:rFonts w:ascii="Times New Roman" w:hAnsi="Times New Roman"/>
          <w:iCs/>
          <w:color w:val="000000"/>
          <w:sz w:val="28"/>
          <w:szCs w:val="28"/>
          <w:shd w:val="clear" w:color="auto" w:fill="FFFFFF"/>
          <w:lang w:val="uk-UA"/>
        </w:rPr>
        <w:t>для Рівненської районної державної адміністрації на фінансову підтримку на утримання місцевих осередків (рад) всеукраїнських об'єднань фізкультурно-спортивної спрямованості,</w:t>
      </w:r>
      <w:r w:rsidRPr="00E245B7">
        <w:rPr>
          <w:rFonts w:ascii="Times New Roman" w:hAnsi="Times New Roman"/>
          <w:color w:val="000000"/>
          <w:sz w:val="28"/>
          <w:szCs w:val="28"/>
          <w:lang w:val="uk-UA" w:eastAsia="ru-RU"/>
        </w:rPr>
        <w:t xml:space="preserve">  товариство «Колос» - 87980,00 грн).</w:t>
      </w:r>
    </w:p>
    <w:p w:rsidR="008F46FF" w:rsidRPr="00E245B7" w:rsidRDefault="008F46FF" w:rsidP="0021073F">
      <w:pPr>
        <w:spacing w:after="0" w:line="240" w:lineRule="auto"/>
        <w:ind w:firstLine="720"/>
        <w:jc w:val="both"/>
        <w:rPr>
          <w:rFonts w:ascii="Times New Roman" w:hAnsi="Times New Roman"/>
          <w:color w:val="000000"/>
          <w:sz w:val="28"/>
          <w:szCs w:val="28"/>
          <w:lang w:val="uk-UA" w:eastAsia="ru-RU"/>
        </w:rPr>
      </w:pPr>
      <w:r w:rsidRPr="00E245B7">
        <w:rPr>
          <w:rFonts w:ascii="Times New Roman" w:hAnsi="Times New Roman"/>
          <w:sz w:val="28"/>
          <w:szCs w:val="28"/>
          <w:lang w:val="uk-UA"/>
        </w:rPr>
        <w:t>Граничні показники видатків районного бюджету за Типовою програмною класифікацією видатків та кредитування бюджету визначено згідно з Додатком 7 до Прогнозу і становлять :</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 xml:space="preserve"> - на 2022 рік  по загальному  фонду - 2278343,00 грн,</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 xml:space="preserve"> - на 2023 рік по загальному  фонду - 2419315,00 грн,</w:t>
      </w:r>
    </w:p>
    <w:p w:rsidR="008F46FF" w:rsidRPr="00E245B7" w:rsidRDefault="008F46FF" w:rsidP="00CB6CCA">
      <w:pPr>
        <w:spacing w:after="0" w:line="240" w:lineRule="auto"/>
        <w:jc w:val="both"/>
        <w:rPr>
          <w:rFonts w:ascii="Times New Roman" w:hAnsi="Times New Roman"/>
          <w:color w:val="000000"/>
          <w:sz w:val="28"/>
          <w:szCs w:val="28"/>
          <w:lang w:val="uk-UA" w:eastAsia="ru-RU"/>
        </w:rPr>
      </w:pPr>
      <w:r w:rsidRPr="00E245B7">
        <w:rPr>
          <w:rFonts w:ascii="Times New Roman" w:hAnsi="Times New Roman"/>
          <w:color w:val="000000"/>
          <w:sz w:val="28"/>
          <w:szCs w:val="28"/>
          <w:lang w:val="uk-UA" w:eastAsia="ru-RU"/>
        </w:rPr>
        <w:t xml:space="preserve"> - на 2024 рік по загальному фонду - 2546806,00 гривень.</w:t>
      </w:r>
    </w:p>
    <w:p w:rsidR="008F46FF" w:rsidRPr="00E245B7" w:rsidRDefault="008F46FF" w:rsidP="0021073F">
      <w:pPr>
        <w:spacing w:after="0" w:line="240" w:lineRule="auto"/>
        <w:ind w:firstLine="708"/>
        <w:jc w:val="both"/>
        <w:rPr>
          <w:rFonts w:ascii="Times New Roman" w:hAnsi="Times New Roman"/>
          <w:sz w:val="28"/>
          <w:szCs w:val="28"/>
          <w:lang w:val="uk-UA" w:eastAsia="ru-RU"/>
        </w:rPr>
      </w:pPr>
      <w:r w:rsidRPr="00E245B7">
        <w:rPr>
          <w:rFonts w:ascii="Times New Roman" w:hAnsi="Times New Roman"/>
          <w:color w:val="000000"/>
          <w:sz w:val="28"/>
          <w:szCs w:val="28"/>
          <w:lang w:val="uk-UA" w:eastAsia="ru-RU"/>
        </w:rPr>
        <w:t>Граничні показники кредитування бюджету за Типовою програмною класифікацією видатків та кредитування місцевого бюджету на середньостроковий період не плануються, що відображено у Додатку 8 до Прогнозу.</w:t>
      </w:r>
    </w:p>
    <w:p w:rsidR="008F46FF" w:rsidRPr="00E245B7" w:rsidRDefault="008F46FF" w:rsidP="00C82CB9">
      <w:pPr>
        <w:shd w:val="clear" w:color="auto" w:fill="FFFFFF"/>
        <w:spacing w:after="0" w:line="240" w:lineRule="auto"/>
        <w:ind w:firstLine="709"/>
        <w:jc w:val="center"/>
        <w:rPr>
          <w:rFonts w:ascii="Times New Roman" w:hAnsi="Times New Roman"/>
          <w:b/>
          <w:sz w:val="28"/>
          <w:szCs w:val="28"/>
          <w:lang w:val="uk-UA" w:eastAsia="ru-RU"/>
        </w:rPr>
      </w:pPr>
      <w:r w:rsidRPr="00E245B7">
        <w:rPr>
          <w:rFonts w:ascii="Times New Roman" w:hAnsi="Times New Roman"/>
          <w:b/>
          <w:sz w:val="28"/>
          <w:szCs w:val="28"/>
          <w:lang w:val="uk-UA" w:eastAsia="ru-RU"/>
        </w:rPr>
        <w:t>VІІ. Бюджет розвитку</w:t>
      </w:r>
    </w:p>
    <w:p w:rsidR="008F46FF" w:rsidRPr="00E245B7" w:rsidRDefault="008F46FF" w:rsidP="00C82CB9">
      <w:pPr>
        <w:shd w:val="clear" w:color="auto" w:fill="FFFFFF"/>
        <w:spacing w:after="0" w:line="240" w:lineRule="auto"/>
        <w:ind w:firstLine="709"/>
        <w:jc w:val="center"/>
        <w:rPr>
          <w:rFonts w:ascii="Times New Roman" w:hAnsi="Times New Roman"/>
          <w:b/>
          <w:sz w:val="28"/>
          <w:szCs w:val="28"/>
          <w:lang w:val="uk-UA" w:eastAsia="ru-RU"/>
        </w:rPr>
      </w:pPr>
    </w:p>
    <w:p w:rsidR="008F46FF" w:rsidRPr="00E245B7" w:rsidRDefault="008F46FF" w:rsidP="0021073F">
      <w:pPr>
        <w:spacing w:after="0" w:line="240" w:lineRule="auto"/>
        <w:ind w:firstLine="720"/>
        <w:jc w:val="both"/>
        <w:rPr>
          <w:rFonts w:ascii="Times New Roman" w:hAnsi="Times New Roman"/>
          <w:sz w:val="28"/>
          <w:szCs w:val="28"/>
          <w:lang w:val="uk-UA"/>
        </w:rPr>
      </w:pPr>
      <w:r w:rsidRPr="00E245B7">
        <w:rPr>
          <w:rFonts w:ascii="Times New Roman" w:hAnsi="Times New Roman"/>
          <w:sz w:val="28"/>
          <w:szCs w:val="28"/>
          <w:lang w:val="uk-UA"/>
        </w:rPr>
        <w:t>Основними завданнями прогнозу районного бюджету є підвищення результативності та ефективності бюджетних видатків.</w:t>
      </w:r>
    </w:p>
    <w:p w:rsidR="008F46FF" w:rsidRPr="00E245B7" w:rsidRDefault="008F46FF" w:rsidP="0021073F">
      <w:pPr>
        <w:spacing w:after="0" w:line="240" w:lineRule="auto"/>
        <w:ind w:firstLine="708"/>
        <w:jc w:val="both"/>
        <w:rPr>
          <w:rFonts w:ascii="Times New Roman" w:hAnsi="Times New Roman"/>
          <w:sz w:val="28"/>
          <w:szCs w:val="28"/>
          <w:lang w:val="uk-UA"/>
        </w:rPr>
      </w:pPr>
      <w:r w:rsidRPr="00E245B7">
        <w:rPr>
          <w:rFonts w:ascii="Times New Roman" w:hAnsi="Times New Roman"/>
          <w:sz w:val="28"/>
          <w:szCs w:val="28"/>
          <w:lang w:val="uk-UA"/>
        </w:rPr>
        <w:t>Метою середньострокового бюджетного прогнозування є створення дієвого механізму управління бюджетним процесом, встановлення зв’язку між стратегічними цілями та можливостями бюджету у середньостроковій перспективі, забезпечення прозорості, передбачуваності та послідовності бюджетної політики Рівненського району.</w:t>
      </w:r>
    </w:p>
    <w:p w:rsidR="008F46FF" w:rsidRPr="00E245B7" w:rsidRDefault="008F46FF" w:rsidP="00CB6CCA">
      <w:pPr>
        <w:shd w:val="clear" w:color="auto" w:fill="FFFFFF"/>
        <w:spacing w:after="0" w:line="240" w:lineRule="auto"/>
        <w:ind w:firstLine="709"/>
        <w:jc w:val="both"/>
        <w:rPr>
          <w:rFonts w:ascii="Times New Roman" w:hAnsi="Times New Roman"/>
          <w:sz w:val="28"/>
          <w:szCs w:val="28"/>
          <w:lang w:val="uk-UA" w:eastAsia="ru-RU"/>
        </w:rPr>
      </w:pPr>
      <w:r w:rsidRPr="00E245B7">
        <w:rPr>
          <w:rFonts w:ascii="Times New Roman" w:hAnsi="Times New Roman"/>
          <w:sz w:val="28"/>
          <w:szCs w:val="28"/>
          <w:lang w:val="uk-UA"/>
        </w:rPr>
        <w:t xml:space="preserve">Показники бюджету розвитку в частині звіту за минулий бюджетний період  та поточний 2021 бюджетний період наведені у Додатку 9. </w:t>
      </w:r>
      <w:r w:rsidRPr="00E245B7">
        <w:rPr>
          <w:rFonts w:ascii="Times New Roman" w:hAnsi="Times New Roman"/>
          <w:sz w:val="28"/>
          <w:szCs w:val="28"/>
          <w:lang w:val="uk-UA" w:eastAsia="ru-RU"/>
        </w:rPr>
        <w:t>На стадії  планування, у зв’язку з обмеженим фінансовим ресурсом, прогнозний розрахунок не передбачає видатків бюджету розвитку.</w:t>
      </w:r>
    </w:p>
    <w:p w:rsidR="008F46FF" w:rsidRPr="00E245B7" w:rsidRDefault="008F46FF" w:rsidP="00CB6CCA">
      <w:pPr>
        <w:tabs>
          <w:tab w:val="left" w:pos="1230"/>
        </w:tabs>
        <w:spacing w:after="0" w:line="240" w:lineRule="auto"/>
        <w:jc w:val="both"/>
        <w:rPr>
          <w:rFonts w:ascii="Times New Roman" w:hAnsi="Times New Roman"/>
          <w:sz w:val="28"/>
          <w:szCs w:val="28"/>
          <w:lang w:val="uk-UA" w:eastAsia="ru-RU"/>
        </w:rPr>
      </w:pPr>
      <w:r w:rsidRPr="00E245B7">
        <w:rPr>
          <w:rFonts w:ascii="Times New Roman" w:hAnsi="Times New Roman"/>
          <w:sz w:val="28"/>
          <w:szCs w:val="28"/>
          <w:lang w:val="uk-UA" w:eastAsia="ru-RU"/>
        </w:rPr>
        <w:t xml:space="preserve">           Капітальні вкладення  у розрізі інвестиційних проектів, визначених у межах загальних граничних показників бюджету та надання кредитів з  місцевого бюджету на 2022-2024 роки не передбачаються, що відображено в Додатку 10 Прогнозу.</w:t>
      </w:r>
    </w:p>
    <w:p w:rsidR="008F46FF" w:rsidRPr="00E245B7" w:rsidRDefault="008F46FF" w:rsidP="00C82CB9">
      <w:pPr>
        <w:shd w:val="clear" w:color="auto" w:fill="FFFFFF"/>
        <w:spacing w:after="0" w:line="240" w:lineRule="auto"/>
        <w:ind w:firstLine="709"/>
        <w:jc w:val="both"/>
        <w:rPr>
          <w:rFonts w:ascii="Times New Roman" w:hAnsi="Times New Roman"/>
          <w:sz w:val="28"/>
          <w:szCs w:val="28"/>
          <w:lang w:val="uk-UA" w:eastAsia="ru-RU"/>
        </w:rPr>
      </w:pPr>
    </w:p>
    <w:p w:rsidR="008F46FF" w:rsidRPr="00E245B7" w:rsidRDefault="008F46FF" w:rsidP="00FA522F">
      <w:pPr>
        <w:shd w:val="clear" w:color="auto" w:fill="FFFFFF"/>
        <w:spacing w:after="0" w:line="240" w:lineRule="auto"/>
        <w:ind w:firstLine="709"/>
        <w:jc w:val="center"/>
        <w:rPr>
          <w:rFonts w:ascii="Times New Roman" w:hAnsi="Times New Roman"/>
          <w:b/>
          <w:sz w:val="28"/>
          <w:szCs w:val="28"/>
          <w:lang w:val="uk-UA" w:eastAsia="ru-RU"/>
        </w:rPr>
      </w:pPr>
      <w:r w:rsidRPr="00E245B7">
        <w:rPr>
          <w:rFonts w:ascii="Times New Roman" w:hAnsi="Times New Roman"/>
          <w:b/>
          <w:sz w:val="28"/>
          <w:szCs w:val="28"/>
          <w:lang w:val="uk-UA" w:eastAsia="ru-RU"/>
        </w:rPr>
        <w:t>VІІІ. Взаємовідносини бюджету з іншими бюджетами</w:t>
      </w:r>
    </w:p>
    <w:p w:rsidR="008F46FF" w:rsidRPr="00E245B7" w:rsidRDefault="008F46FF" w:rsidP="00FA522F">
      <w:pPr>
        <w:shd w:val="clear" w:color="auto" w:fill="FFFFFF"/>
        <w:spacing w:after="0" w:line="240" w:lineRule="auto"/>
        <w:ind w:firstLine="709"/>
        <w:jc w:val="center"/>
        <w:rPr>
          <w:rFonts w:ascii="Times New Roman" w:hAnsi="Times New Roman"/>
          <w:b/>
          <w:sz w:val="28"/>
          <w:szCs w:val="28"/>
          <w:lang w:val="uk-UA" w:eastAsia="ru-RU"/>
        </w:rPr>
      </w:pPr>
    </w:p>
    <w:p w:rsidR="008F46FF" w:rsidRPr="00E245B7" w:rsidRDefault="008F46FF" w:rsidP="0021073F">
      <w:pPr>
        <w:spacing w:after="0" w:line="240" w:lineRule="auto"/>
        <w:ind w:firstLine="720"/>
        <w:jc w:val="both"/>
        <w:rPr>
          <w:rFonts w:ascii="Times New Roman" w:hAnsi="Times New Roman"/>
          <w:sz w:val="28"/>
          <w:szCs w:val="28"/>
          <w:lang w:val="uk-UA"/>
        </w:rPr>
      </w:pPr>
      <w:r w:rsidRPr="00E245B7">
        <w:rPr>
          <w:rFonts w:ascii="Times New Roman" w:hAnsi="Times New Roman"/>
          <w:sz w:val="28"/>
          <w:szCs w:val="28"/>
          <w:lang w:val="uk-UA"/>
        </w:rPr>
        <w:t xml:space="preserve">У сфері взаємовідносин державного, обласного та  бюджетів територіальних громад з районним бюджетом у середньостроковому періоді відповідно до положень Бюджетного кодексу України (зі змінами і доповненнями) передбачається розширення ресурсної бази, зміцнення фінансової незалежності та   удосконалення міжбюджетних відносин у напрямі ефективної взаємодії бюджетів територіальних громад та районного бюджету, </w:t>
      </w:r>
      <w:r w:rsidRPr="00E245B7">
        <w:rPr>
          <w:rFonts w:ascii="Times New Roman" w:hAnsi="Times New Roman"/>
          <w:sz w:val="28"/>
          <w:szCs w:val="28"/>
          <w:lang w:val="uk-UA"/>
        </w:rPr>
        <w:lastRenderedPageBreak/>
        <w:t>розробки спільних програм для підвищення частки інвестиційних видатків на впровадження проєктів та поліпшення рівня життя населення району.</w:t>
      </w:r>
    </w:p>
    <w:p w:rsidR="008F46FF" w:rsidRPr="00E245B7" w:rsidRDefault="008F46FF" w:rsidP="0021073F">
      <w:pPr>
        <w:spacing w:after="0" w:line="240" w:lineRule="auto"/>
        <w:ind w:firstLine="720"/>
        <w:jc w:val="both"/>
        <w:rPr>
          <w:rFonts w:ascii="Times New Roman" w:hAnsi="Times New Roman"/>
          <w:sz w:val="28"/>
          <w:szCs w:val="28"/>
          <w:lang w:val="uk-UA"/>
        </w:rPr>
      </w:pPr>
      <w:r w:rsidRPr="00E245B7">
        <w:rPr>
          <w:rFonts w:ascii="Times New Roman" w:hAnsi="Times New Roman"/>
          <w:color w:val="000000"/>
          <w:sz w:val="28"/>
          <w:szCs w:val="28"/>
          <w:lang w:val="uk-UA" w:eastAsia="ru-RU"/>
        </w:rPr>
        <w:t>Обсяг трансфертів до загального фонду  районного бюджету прогнозується :</w:t>
      </w:r>
    </w:p>
    <w:p w:rsidR="008F46FF" w:rsidRPr="00E245B7" w:rsidRDefault="008F46FF" w:rsidP="00CB6CCA">
      <w:pPr>
        <w:spacing w:after="0" w:line="240" w:lineRule="auto"/>
        <w:ind w:firstLine="708"/>
        <w:jc w:val="both"/>
        <w:rPr>
          <w:rFonts w:ascii="Times New Roman" w:hAnsi="Times New Roman"/>
          <w:sz w:val="28"/>
          <w:szCs w:val="28"/>
          <w:lang w:val="uk-UA"/>
        </w:rPr>
      </w:pPr>
      <w:r w:rsidRPr="00E245B7">
        <w:rPr>
          <w:rFonts w:ascii="Times New Roman" w:hAnsi="Times New Roman"/>
          <w:color w:val="000000"/>
          <w:sz w:val="28"/>
          <w:szCs w:val="28"/>
          <w:lang w:val="uk-UA" w:eastAsia="ru-RU"/>
        </w:rPr>
        <w:t>-  у 2022 році- 2178343,00 грн,</w:t>
      </w:r>
      <w:r w:rsidRPr="00E245B7">
        <w:rPr>
          <w:rFonts w:ascii="Times New Roman" w:hAnsi="Times New Roman"/>
          <w:sz w:val="28"/>
          <w:szCs w:val="28"/>
          <w:lang w:val="uk-UA"/>
        </w:rPr>
        <w:t xml:space="preserve">  у 2023 році–2309315,00грн, у 2024 році–2425806,00 гривень.</w:t>
      </w:r>
    </w:p>
    <w:p w:rsidR="008F46FF" w:rsidRPr="00E245B7" w:rsidRDefault="008F46FF" w:rsidP="00CB6CCA">
      <w:pPr>
        <w:spacing w:after="0" w:line="240" w:lineRule="auto"/>
        <w:jc w:val="both"/>
        <w:rPr>
          <w:rFonts w:ascii="Times New Roman" w:hAnsi="Times New Roman"/>
          <w:sz w:val="28"/>
          <w:szCs w:val="28"/>
          <w:lang w:val="uk-UA"/>
        </w:rPr>
      </w:pPr>
      <w:r w:rsidRPr="00E245B7">
        <w:rPr>
          <w:rFonts w:ascii="Times New Roman" w:hAnsi="Times New Roman"/>
          <w:sz w:val="28"/>
          <w:szCs w:val="28"/>
          <w:lang w:val="uk-UA"/>
        </w:rPr>
        <w:tab/>
        <w:t>Детальні показники міжбюджетних трансфертів з інших бюджетів у розрізі їх  видів та бюджетів відображені в Додатку 11 Прогнозу.</w:t>
      </w:r>
    </w:p>
    <w:p w:rsidR="008F46FF" w:rsidRPr="00E245B7" w:rsidRDefault="008F46FF" w:rsidP="00CB6CCA">
      <w:pPr>
        <w:spacing w:after="0" w:line="240" w:lineRule="auto"/>
        <w:jc w:val="both"/>
        <w:rPr>
          <w:rFonts w:ascii="Times New Roman" w:hAnsi="Times New Roman"/>
          <w:sz w:val="28"/>
          <w:szCs w:val="28"/>
          <w:lang w:val="uk-UA"/>
        </w:rPr>
      </w:pPr>
      <w:r w:rsidRPr="00E245B7">
        <w:rPr>
          <w:rFonts w:ascii="Times New Roman" w:hAnsi="Times New Roman"/>
          <w:sz w:val="28"/>
          <w:szCs w:val="28"/>
          <w:lang w:val="uk-UA"/>
        </w:rPr>
        <w:tab/>
        <w:t>В 2022-2024 роках Прогнозом не передбачається надання міжбюджетних трансфертів іншим бюджетам, що відображено в Додатку 12 Прогнозу.</w:t>
      </w:r>
    </w:p>
    <w:p w:rsidR="008F46FF" w:rsidRPr="00E245B7" w:rsidRDefault="008F46FF" w:rsidP="00CB6CCA">
      <w:pPr>
        <w:spacing w:after="0" w:line="240" w:lineRule="auto"/>
        <w:jc w:val="both"/>
        <w:rPr>
          <w:rFonts w:ascii="Times New Roman" w:hAnsi="Times New Roman"/>
          <w:sz w:val="28"/>
          <w:szCs w:val="28"/>
          <w:lang w:val="uk-UA"/>
        </w:rPr>
      </w:pPr>
    </w:p>
    <w:p w:rsidR="008F46FF" w:rsidRPr="00E245B7" w:rsidRDefault="008F46FF" w:rsidP="00D75220">
      <w:pPr>
        <w:shd w:val="clear" w:color="auto" w:fill="FFFFFF"/>
        <w:spacing w:after="0" w:line="240" w:lineRule="auto"/>
        <w:ind w:firstLine="709"/>
        <w:jc w:val="center"/>
        <w:rPr>
          <w:rFonts w:ascii="Times New Roman" w:hAnsi="Times New Roman"/>
          <w:b/>
          <w:sz w:val="28"/>
          <w:szCs w:val="28"/>
          <w:lang w:val="uk-UA" w:eastAsia="ru-RU"/>
        </w:rPr>
      </w:pPr>
      <w:r w:rsidRPr="00E245B7">
        <w:rPr>
          <w:rFonts w:ascii="Times New Roman" w:hAnsi="Times New Roman"/>
          <w:b/>
          <w:sz w:val="28"/>
          <w:szCs w:val="28"/>
          <w:lang w:val="uk-UA" w:eastAsia="ru-RU"/>
        </w:rPr>
        <w:t>ІХ. Інші положення та показники прогнозу бюджету</w:t>
      </w:r>
    </w:p>
    <w:p w:rsidR="008F46FF" w:rsidRPr="00E245B7" w:rsidRDefault="008F46FF" w:rsidP="00D75220">
      <w:pPr>
        <w:shd w:val="clear" w:color="auto" w:fill="FFFFFF"/>
        <w:spacing w:after="0" w:line="240" w:lineRule="auto"/>
        <w:ind w:firstLine="709"/>
        <w:jc w:val="center"/>
        <w:rPr>
          <w:rFonts w:ascii="Times New Roman" w:hAnsi="Times New Roman"/>
          <w:b/>
          <w:sz w:val="28"/>
          <w:szCs w:val="28"/>
          <w:lang w:val="uk-UA" w:eastAsia="ru-RU"/>
        </w:rPr>
      </w:pPr>
    </w:p>
    <w:p w:rsidR="008F46FF" w:rsidRPr="00E245B7" w:rsidRDefault="008F46FF" w:rsidP="00CB6CCA">
      <w:pPr>
        <w:shd w:val="clear" w:color="auto" w:fill="FFFFFF"/>
        <w:spacing w:after="0" w:line="240" w:lineRule="auto"/>
        <w:ind w:firstLine="709"/>
        <w:jc w:val="both"/>
        <w:rPr>
          <w:rFonts w:ascii="Times New Roman" w:hAnsi="Times New Roman"/>
          <w:sz w:val="28"/>
          <w:szCs w:val="28"/>
          <w:lang w:val="uk-UA" w:eastAsia="ru-RU"/>
        </w:rPr>
      </w:pPr>
      <w:r w:rsidRPr="00E245B7">
        <w:rPr>
          <w:rFonts w:ascii="Times New Roman" w:hAnsi="Times New Roman"/>
          <w:sz w:val="28"/>
          <w:szCs w:val="28"/>
          <w:lang w:val="uk-UA" w:eastAsia="ru-RU"/>
        </w:rPr>
        <w:t>При складанні  Прогнозу застосовані такі основні макропоказники економічного  і  соціального розвитку України:</w:t>
      </w:r>
      <w:bookmarkStart w:id="0" w:name="_GoBack"/>
      <w:bookmarkEnd w:id="0"/>
    </w:p>
    <w:p w:rsidR="008F46FF" w:rsidRPr="00E245B7" w:rsidRDefault="008F46FF" w:rsidP="00CB6CCA">
      <w:pPr>
        <w:shd w:val="clear" w:color="auto" w:fill="FFFFFF"/>
        <w:spacing w:after="0" w:line="240" w:lineRule="auto"/>
        <w:ind w:firstLine="709"/>
        <w:jc w:val="both"/>
        <w:rPr>
          <w:rFonts w:ascii="Times New Roman" w:hAnsi="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733"/>
        <w:gridCol w:w="1573"/>
        <w:gridCol w:w="1597"/>
      </w:tblGrid>
      <w:tr w:rsidR="008F46FF" w:rsidRPr="00E245B7" w:rsidTr="00BE1E03">
        <w:tc>
          <w:tcPr>
            <w:tcW w:w="4442" w:type="dxa"/>
          </w:tcPr>
          <w:p w:rsidR="008F46FF" w:rsidRPr="00E245B7" w:rsidRDefault="008F46FF" w:rsidP="00CB6CCA">
            <w:pPr>
              <w:spacing w:after="0" w:line="240" w:lineRule="auto"/>
              <w:jc w:val="center"/>
              <w:rPr>
                <w:rFonts w:ascii="Times New Roman" w:hAnsi="Times New Roman"/>
                <w:lang w:val="uk-UA" w:eastAsia="ru-RU"/>
              </w:rPr>
            </w:pPr>
            <w:r w:rsidRPr="00E245B7">
              <w:rPr>
                <w:rFonts w:ascii="Times New Roman" w:hAnsi="Times New Roman"/>
                <w:lang w:val="uk-UA" w:eastAsia="ru-RU"/>
              </w:rPr>
              <w:t>Назва показника</w:t>
            </w:r>
          </w:p>
        </w:tc>
        <w:tc>
          <w:tcPr>
            <w:tcW w:w="1733" w:type="dxa"/>
          </w:tcPr>
          <w:p w:rsidR="008F46FF" w:rsidRPr="00E245B7" w:rsidRDefault="008F46FF" w:rsidP="00CB6CCA">
            <w:pPr>
              <w:spacing w:after="0" w:line="240" w:lineRule="auto"/>
              <w:jc w:val="center"/>
              <w:rPr>
                <w:rFonts w:ascii="Times New Roman" w:hAnsi="Times New Roman"/>
                <w:lang w:val="uk-UA" w:eastAsia="ru-RU"/>
              </w:rPr>
            </w:pPr>
            <w:r w:rsidRPr="00E245B7">
              <w:rPr>
                <w:rFonts w:ascii="Times New Roman" w:hAnsi="Times New Roman"/>
                <w:lang w:val="uk-UA" w:eastAsia="ru-RU"/>
              </w:rPr>
              <w:t>2022 (прогноз)</w:t>
            </w:r>
          </w:p>
        </w:tc>
        <w:tc>
          <w:tcPr>
            <w:tcW w:w="1573" w:type="dxa"/>
          </w:tcPr>
          <w:p w:rsidR="008F46FF" w:rsidRPr="00E245B7" w:rsidRDefault="008F46FF" w:rsidP="00CB6CCA">
            <w:pPr>
              <w:spacing w:after="0" w:line="240" w:lineRule="auto"/>
              <w:jc w:val="center"/>
              <w:rPr>
                <w:rFonts w:ascii="Times New Roman" w:hAnsi="Times New Roman"/>
                <w:lang w:val="uk-UA" w:eastAsia="ru-RU"/>
              </w:rPr>
            </w:pPr>
            <w:r w:rsidRPr="00E245B7">
              <w:rPr>
                <w:rFonts w:ascii="Times New Roman" w:hAnsi="Times New Roman"/>
                <w:lang w:val="uk-UA" w:eastAsia="ru-RU"/>
              </w:rPr>
              <w:t>2023 (прогноз)</w:t>
            </w:r>
          </w:p>
        </w:tc>
        <w:tc>
          <w:tcPr>
            <w:tcW w:w="1597" w:type="dxa"/>
          </w:tcPr>
          <w:p w:rsidR="008F46FF" w:rsidRPr="00E245B7" w:rsidRDefault="008F46FF" w:rsidP="00CB6CCA">
            <w:pPr>
              <w:spacing w:after="0" w:line="240" w:lineRule="auto"/>
              <w:jc w:val="center"/>
              <w:rPr>
                <w:rFonts w:ascii="Times New Roman" w:hAnsi="Times New Roman"/>
                <w:lang w:val="uk-UA" w:eastAsia="ru-RU"/>
              </w:rPr>
            </w:pPr>
            <w:r w:rsidRPr="00E245B7">
              <w:rPr>
                <w:rFonts w:ascii="Times New Roman" w:hAnsi="Times New Roman"/>
                <w:lang w:val="uk-UA" w:eastAsia="ru-RU"/>
              </w:rPr>
              <w:t>2024 (прогноз)</w:t>
            </w:r>
          </w:p>
        </w:tc>
      </w:tr>
      <w:tr w:rsidR="008F46FF" w:rsidRPr="00E245B7" w:rsidTr="00BE1E03">
        <w:trPr>
          <w:trHeight w:val="775"/>
        </w:trPr>
        <w:tc>
          <w:tcPr>
            <w:tcW w:w="4442" w:type="dxa"/>
          </w:tcPr>
          <w:p w:rsidR="008F46FF" w:rsidRPr="00E245B7" w:rsidRDefault="008F46FF" w:rsidP="00CB6CCA">
            <w:pPr>
              <w:spacing w:after="0" w:line="240" w:lineRule="auto"/>
              <w:jc w:val="both"/>
              <w:rPr>
                <w:rFonts w:ascii="Times New Roman" w:hAnsi="Times New Roman"/>
                <w:lang w:val="uk-UA" w:eastAsia="ru-RU"/>
              </w:rPr>
            </w:pPr>
            <w:r w:rsidRPr="00E245B7">
              <w:rPr>
                <w:rFonts w:ascii="Times New Roman" w:hAnsi="Times New Roman"/>
                <w:lang w:val="uk-UA" w:eastAsia="ru-RU"/>
              </w:rPr>
              <w:t>Індекс споживчих цін (ІСЦ):</w:t>
            </w:r>
          </w:p>
          <w:p w:rsidR="008F46FF" w:rsidRPr="00E245B7" w:rsidRDefault="008F46FF" w:rsidP="00CB6CCA">
            <w:pPr>
              <w:spacing w:after="0" w:line="240" w:lineRule="auto"/>
              <w:jc w:val="both"/>
              <w:rPr>
                <w:rFonts w:ascii="Times New Roman" w:hAnsi="Times New Roman"/>
                <w:lang w:val="uk-UA" w:eastAsia="ru-RU"/>
              </w:rPr>
            </w:pPr>
            <w:r w:rsidRPr="00E245B7">
              <w:rPr>
                <w:rFonts w:ascii="Times New Roman" w:hAnsi="Times New Roman"/>
                <w:lang w:val="uk-UA" w:eastAsia="ru-RU"/>
              </w:rPr>
              <w:t>грудень до грудня попереднього року, відсотки</w:t>
            </w:r>
          </w:p>
        </w:tc>
        <w:tc>
          <w:tcPr>
            <w:tcW w:w="1733" w:type="dxa"/>
          </w:tcPr>
          <w:p w:rsidR="008F46FF" w:rsidRPr="00E245B7" w:rsidRDefault="008F46FF" w:rsidP="00CB6CCA">
            <w:pPr>
              <w:spacing w:after="0" w:line="240" w:lineRule="auto"/>
              <w:jc w:val="center"/>
              <w:rPr>
                <w:rFonts w:ascii="Times New Roman" w:hAnsi="Times New Roman"/>
                <w:lang w:val="uk-UA" w:eastAsia="ru-RU"/>
              </w:rPr>
            </w:pPr>
            <w:r w:rsidRPr="00E245B7">
              <w:rPr>
                <w:rFonts w:ascii="Times New Roman" w:hAnsi="Times New Roman"/>
                <w:lang w:val="uk-UA" w:eastAsia="ru-RU"/>
              </w:rPr>
              <w:t>106,2</w:t>
            </w:r>
          </w:p>
        </w:tc>
        <w:tc>
          <w:tcPr>
            <w:tcW w:w="1573" w:type="dxa"/>
          </w:tcPr>
          <w:p w:rsidR="008F46FF" w:rsidRPr="00E245B7" w:rsidRDefault="008F46FF" w:rsidP="00CB6CCA">
            <w:pPr>
              <w:spacing w:after="0" w:line="240" w:lineRule="auto"/>
              <w:jc w:val="center"/>
              <w:rPr>
                <w:rFonts w:ascii="Times New Roman" w:hAnsi="Times New Roman"/>
                <w:lang w:val="uk-UA" w:eastAsia="ru-RU"/>
              </w:rPr>
            </w:pPr>
            <w:r w:rsidRPr="00E245B7">
              <w:rPr>
                <w:rFonts w:ascii="Times New Roman" w:hAnsi="Times New Roman"/>
                <w:lang w:val="uk-UA" w:eastAsia="ru-RU"/>
              </w:rPr>
              <w:t>105,3</w:t>
            </w:r>
          </w:p>
        </w:tc>
        <w:tc>
          <w:tcPr>
            <w:tcW w:w="1597" w:type="dxa"/>
          </w:tcPr>
          <w:p w:rsidR="008F46FF" w:rsidRPr="00E245B7" w:rsidRDefault="008F46FF" w:rsidP="00CB6CCA">
            <w:pPr>
              <w:spacing w:after="0" w:line="240" w:lineRule="auto"/>
              <w:jc w:val="center"/>
              <w:rPr>
                <w:rFonts w:ascii="Times New Roman" w:hAnsi="Times New Roman"/>
                <w:lang w:val="uk-UA" w:eastAsia="ru-RU"/>
              </w:rPr>
            </w:pPr>
            <w:r w:rsidRPr="00E245B7">
              <w:rPr>
                <w:rFonts w:ascii="Times New Roman" w:hAnsi="Times New Roman"/>
                <w:lang w:val="uk-UA" w:eastAsia="ru-RU"/>
              </w:rPr>
              <w:t>105,0</w:t>
            </w:r>
          </w:p>
        </w:tc>
      </w:tr>
      <w:tr w:rsidR="008F46FF" w:rsidRPr="00E245B7" w:rsidTr="00BE1E03">
        <w:tc>
          <w:tcPr>
            <w:tcW w:w="4442" w:type="dxa"/>
          </w:tcPr>
          <w:p w:rsidR="008F46FF" w:rsidRPr="00E245B7" w:rsidRDefault="008F46FF" w:rsidP="00CB6CCA">
            <w:pPr>
              <w:spacing w:after="0" w:line="240" w:lineRule="auto"/>
              <w:jc w:val="both"/>
              <w:rPr>
                <w:rFonts w:ascii="Times New Roman" w:hAnsi="Times New Roman"/>
                <w:lang w:val="uk-UA" w:eastAsia="ru-RU"/>
              </w:rPr>
            </w:pPr>
            <w:r w:rsidRPr="00E245B7">
              <w:rPr>
                <w:rFonts w:ascii="Times New Roman" w:hAnsi="Times New Roman"/>
                <w:lang w:val="uk-UA" w:eastAsia="ru-RU"/>
              </w:rPr>
              <w:t>Індекс цін виробників (ІЦВ):</w:t>
            </w:r>
          </w:p>
          <w:p w:rsidR="008F46FF" w:rsidRPr="00E245B7" w:rsidRDefault="008F46FF" w:rsidP="00CB6CCA">
            <w:pPr>
              <w:spacing w:after="0" w:line="240" w:lineRule="auto"/>
              <w:jc w:val="both"/>
              <w:rPr>
                <w:rFonts w:ascii="Times New Roman" w:hAnsi="Times New Roman"/>
                <w:lang w:val="uk-UA" w:eastAsia="ru-RU"/>
              </w:rPr>
            </w:pPr>
            <w:r w:rsidRPr="00E245B7">
              <w:rPr>
                <w:rFonts w:ascii="Times New Roman" w:hAnsi="Times New Roman"/>
                <w:lang w:val="uk-UA" w:eastAsia="ru-RU"/>
              </w:rPr>
              <w:t>грудень до грудня попереднього року, відсотки</w:t>
            </w:r>
          </w:p>
        </w:tc>
        <w:tc>
          <w:tcPr>
            <w:tcW w:w="1733" w:type="dxa"/>
          </w:tcPr>
          <w:p w:rsidR="008F46FF" w:rsidRPr="00E245B7" w:rsidRDefault="008F46FF" w:rsidP="00CB6CCA">
            <w:pPr>
              <w:spacing w:after="0" w:line="240" w:lineRule="auto"/>
              <w:jc w:val="center"/>
              <w:rPr>
                <w:rFonts w:ascii="Times New Roman" w:hAnsi="Times New Roman"/>
                <w:lang w:val="uk-UA" w:eastAsia="ru-RU"/>
              </w:rPr>
            </w:pPr>
            <w:r w:rsidRPr="00E245B7">
              <w:rPr>
                <w:rFonts w:ascii="Times New Roman" w:hAnsi="Times New Roman"/>
                <w:lang w:val="uk-UA" w:eastAsia="ru-RU"/>
              </w:rPr>
              <w:t>107,8</w:t>
            </w:r>
          </w:p>
        </w:tc>
        <w:tc>
          <w:tcPr>
            <w:tcW w:w="1573" w:type="dxa"/>
          </w:tcPr>
          <w:p w:rsidR="008F46FF" w:rsidRPr="00E245B7" w:rsidRDefault="008F46FF" w:rsidP="00CB6CCA">
            <w:pPr>
              <w:spacing w:after="0" w:line="240" w:lineRule="auto"/>
              <w:jc w:val="center"/>
              <w:rPr>
                <w:rFonts w:ascii="Times New Roman" w:hAnsi="Times New Roman"/>
                <w:lang w:val="uk-UA" w:eastAsia="ru-RU"/>
              </w:rPr>
            </w:pPr>
            <w:r w:rsidRPr="00E245B7">
              <w:rPr>
                <w:rFonts w:ascii="Times New Roman" w:hAnsi="Times New Roman"/>
                <w:lang w:val="uk-UA" w:eastAsia="ru-RU"/>
              </w:rPr>
              <w:t>106,2</w:t>
            </w:r>
          </w:p>
        </w:tc>
        <w:tc>
          <w:tcPr>
            <w:tcW w:w="1597" w:type="dxa"/>
          </w:tcPr>
          <w:p w:rsidR="008F46FF" w:rsidRPr="00E245B7" w:rsidRDefault="008F46FF" w:rsidP="00CB6CCA">
            <w:pPr>
              <w:spacing w:after="0" w:line="240" w:lineRule="auto"/>
              <w:jc w:val="center"/>
              <w:rPr>
                <w:rFonts w:ascii="Times New Roman" w:hAnsi="Times New Roman"/>
                <w:lang w:val="uk-UA" w:eastAsia="ru-RU"/>
              </w:rPr>
            </w:pPr>
            <w:r w:rsidRPr="00E245B7">
              <w:rPr>
                <w:rFonts w:ascii="Times New Roman" w:hAnsi="Times New Roman"/>
                <w:lang w:val="uk-UA" w:eastAsia="ru-RU"/>
              </w:rPr>
              <w:t>105,7</w:t>
            </w:r>
          </w:p>
        </w:tc>
      </w:tr>
    </w:tbl>
    <w:p w:rsidR="008F46FF" w:rsidRPr="00E245B7" w:rsidRDefault="008F46FF" w:rsidP="00CB6CCA">
      <w:pPr>
        <w:spacing w:after="0" w:line="240" w:lineRule="auto"/>
        <w:ind w:firstLine="708"/>
        <w:rPr>
          <w:rFonts w:ascii="Times New Roman" w:hAnsi="Times New Roman"/>
          <w:sz w:val="28"/>
          <w:szCs w:val="28"/>
          <w:lang w:val="uk-UA" w:eastAsia="ru-RU"/>
        </w:rPr>
      </w:pPr>
    </w:p>
    <w:p w:rsidR="008F46FF" w:rsidRPr="00E245B7" w:rsidRDefault="008F46FF" w:rsidP="00CB6CCA">
      <w:pPr>
        <w:spacing w:after="0" w:line="240" w:lineRule="auto"/>
        <w:ind w:firstLine="708"/>
        <w:rPr>
          <w:rFonts w:ascii="Times New Roman" w:hAnsi="Times New Roman"/>
          <w:sz w:val="28"/>
          <w:szCs w:val="28"/>
          <w:lang w:val="uk-UA" w:eastAsia="ru-RU"/>
        </w:rPr>
      </w:pPr>
    </w:p>
    <w:p w:rsidR="008F46FF" w:rsidRPr="00E245B7" w:rsidRDefault="008F46FF" w:rsidP="00CB6CCA">
      <w:pPr>
        <w:spacing w:after="0" w:line="240" w:lineRule="auto"/>
        <w:ind w:firstLine="708"/>
        <w:rPr>
          <w:rFonts w:ascii="Times New Roman" w:hAnsi="Times New Roman"/>
          <w:sz w:val="28"/>
          <w:szCs w:val="28"/>
          <w:lang w:val="uk-UA" w:eastAsia="ru-RU"/>
        </w:rPr>
      </w:pPr>
    </w:p>
    <w:p w:rsidR="008F46FF" w:rsidRPr="00E245B7" w:rsidRDefault="008F46FF" w:rsidP="00CB6CCA">
      <w:pPr>
        <w:spacing w:after="0" w:line="240" w:lineRule="auto"/>
        <w:ind w:firstLine="708"/>
        <w:rPr>
          <w:rFonts w:ascii="Times New Roman" w:hAnsi="Times New Roman"/>
          <w:sz w:val="28"/>
          <w:szCs w:val="28"/>
          <w:lang w:val="uk-UA" w:eastAsia="ru-RU"/>
        </w:rPr>
      </w:pP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t>До Прогнозу додаються:</w:t>
      </w:r>
    </w:p>
    <w:p w:rsidR="008F46FF" w:rsidRPr="00E245B7" w:rsidRDefault="008F46FF" w:rsidP="00CB6CCA">
      <w:pPr>
        <w:spacing w:after="0" w:line="240" w:lineRule="auto"/>
        <w:ind w:firstLine="708"/>
        <w:rPr>
          <w:rFonts w:ascii="Times New Roman" w:hAnsi="Times New Roman"/>
          <w:sz w:val="28"/>
          <w:szCs w:val="28"/>
          <w:lang w:val="uk-UA" w:eastAsia="ru-RU"/>
        </w:rPr>
      </w:pP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t>Додаток 1. Загальні показники бюджету.</w:t>
      </w: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t>Додаток 2. Показники доходів бюджету.</w:t>
      </w: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t>Додаток 3. Показники фінансування бюджету.</w:t>
      </w: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t>Додаток 4. Показники місцевого боргу.</w:t>
      </w: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t xml:space="preserve">Додаток 5. Показники гарантованого Автономною Республікою Крим, </w:t>
      </w:r>
    </w:p>
    <w:p w:rsidR="008F46FF" w:rsidRPr="00E245B7" w:rsidRDefault="008F46FF" w:rsidP="00CD5767">
      <w:pPr>
        <w:spacing w:after="0" w:line="240" w:lineRule="auto"/>
        <w:rPr>
          <w:rFonts w:ascii="Times New Roman" w:hAnsi="Times New Roman"/>
          <w:sz w:val="28"/>
          <w:szCs w:val="28"/>
          <w:lang w:val="uk-UA" w:eastAsia="ru-RU"/>
        </w:rPr>
      </w:pPr>
      <w:r w:rsidRPr="00E245B7">
        <w:rPr>
          <w:rFonts w:ascii="Times New Roman" w:hAnsi="Times New Roman"/>
          <w:sz w:val="28"/>
          <w:szCs w:val="28"/>
          <w:lang w:val="uk-UA" w:eastAsia="ru-RU"/>
        </w:rPr>
        <w:t xml:space="preserve">обласною радою чи територіальною громадою міста боргу і надання </w:t>
      </w:r>
    </w:p>
    <w:p w:rsidR="008F46FF" w:rsidRPr="00E245B7" w:rsidRDefault="008F46FF" w:rsidP="00CD5767">
      <w:pPr>
        <w:spacing w:after="0" w:line="240" w:lineRule="auto"/>
        <w:rPr>
          <w:rFonts w:ascii="Times New Roman" w:hAnsi="Times New Roman"/>
          <w:sz w:val="28"/>
          <w:szCs w:val="28"/>
          <w:lang w:val="uk-UA" w:eastAsia="ru-RU"/>
        </w:rPr>
      </w:pPr>
      <w:r w:rsidRPr="00E245B7">
        <w:rPr>
          <w:rFonts w:ascii="Times New Roman" w:hAnsi="Times New Roman"/>
          <w:sz w:val="28"/>
          <w:szCs w:val="28"/>
          <w:lang w:val="uk-UA" w:eastAsia="ru-RU"/>
        </w:rPr>
        <w:t>місцевих гарантій.</w:t>
      </w: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t>Додаток 6. Граничні показники видатків бюджету та надання кредитів з бюджету головним розпорядникам коштів.</w:t>
      </w: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t>Додаток 7. Граничні показники видатків бюджету за Типовою програмною класифікацією видатків та кредитування місцевого бюджету .</w:t>
      </w: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t>Додаток 8. Граничні показники кредитування бюджету за Типовою програмною класифікацією видатків та кредитування місцевого бюджету.</w:t>
      </w: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t>Додаток 9.</w:t>
      </w:r>
      <w:r w:rsidRPr="00E245B7">
        <w:rPr>
          <w:lang w:val="uk-UA"/>
        </w:rPr>
        <w:t xml:space="preserve"> </w:t>
      </w:r>
      <w:r w:rsidRPr="00E245B7">
        <w:rPr>
          <w:rFonts w:ascii="Times New Roman" w:hAnsi="Times New Roman"/>
          <w:sz w:val="28"/>
          <w:szCs w:val="28"/>
          <w:lang w:val="uk-UA" w:eastAsia="ru-RU"/>
        </w:rPr>
        <w:t>Показники   бюджету розвитку.</w:t>
      </w: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lastRenderedPageBreak/>
        <w:t>Додаток 10. Обсяги капітальних вкладень місцевого бюджету у розрізі інвестиційних проектів.</w:t>
      </w: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t>Додаток 11. Показники міжбюджетних трансфертів з інших бюджетів.</w:t>
      </w:r>
    </w:p>
    <w:p w:rsidR="008F46FF" w:rsidRPr="00E245B7" w:rsidRDefault="008F46FF" w:rsidP="00CB6CCA">
      <w:pPr>
        <w:spacing w:after="0" w:line="240" w:lineRule="auto"/>
        <w:ind w:firstLine="708"/>
        <w:rPr>
          <w:rFonts w:ascii="Times New Roman" w:hAnsi="Times New Roman"/>
          <w:sz w:val="28"/>
          <w:szCs w:val="28"/>
          <w:lang w:val="uk-UA" w:eastAsia="ru-RU"/>
        </w:rPr>
      </w:pPr>
      <w:r w:rsidRPr="00E245B7">
        <w:rPr>
          <w:rFonts w:ascii="Times New Roman" w:hAnsi="Times New Roman"/>
          <w:sz w:val="28"/>
          <w:szCs w:val="28"/>
          <w:lang w:val="uk-UA" w:eastAsia="ru-RU"/>
        </w:rPr>
        <w:t>Додаток 12. Показники міжбюджетних трансфертів іншим бюджетам.</w:t>
      </w:r>
    </w:p>
    <w:p w:rsidR="008F46FF" w:rsidRPr="00E245B7" w:rsidRDefault="008F46FF" w:rsidP="00CB6CCA">
      <w:pPr>
        <w:shd w:val="clear" w:color="auto" w:fill="FFFFFF"/>
        <w:spacing w:after="0" w:line="240" w:lineRule="auto"/>
        <w:ind w:firstLine="709"/>
        <w:jc w:val="both"/>
        <w:rPr>
          <w:rFonts w:ascii="Times New Roman" w:hAnsi="Times New Roman"/>
          <w:sz w:val="28"/>
          <w:szCs w:val="28"/>
          <w:lang w:val="uk-UA" w:eastAsia="ru-RU"/>
        </w:rPr>
      </w:pPr>
    </w:p>
    <w:p w:rsidR="008F46FF" w:rsidRPr="00E245B7" w:rsidRDefault="008F46FF" w:rsidP="00EC7B22">
      <w:pPr>
        <w:shd w:val="clear" w:color="auto" w:fill="FFFFFF"/>
        <w:spacing w:before="100" w:beforeAutospacing="1" w:after="100" w:afterAutospacing="1"/>
        <w:ind w:firstLine="720"/>
        <w:jc w:val="both"/>
        <w:rPr>
          <w:rFonts w:ascii="Times New Roman" w:hAnsi="Times New Roman"/>
          <w:sz w:val="28"/>
          <w:szCs w:val="28"/>
          <w:lang w:val="uk-UA" w:eastAsia="ru-RU"/>
        </w:rPr>
      </w:pPr>
    </w:p>
    <w:p w:rsidR="008F46FF" w:rsidRPr="00E245B7" w:rsidRDefault="008F46FF" w:rsidP="00EC7B22">
      <w:pPr>
        <w:shd w:val="clear" w:color="auto" w:fill="FFFFFF"/>
        <w:spacing w:before="100" w:beforeAutospacing="1" w:after="100" w:afterAutospacing="1"/>
        <w:ind w:firstLine="720"/>
        <w:jc w:val="both"/>
        <w:rPr>
          <w:rFonts w:ascii="Times New Roman" w:hAnsi="Times New Roman"/>
          <w:sz w:val="28"/>
          <w:szCs w:val="28"/>
          <w:lang w:val="uk-UA" w:eastAsia="ru-RU"/>
        </w:rPr>
      </w:pPr>
    </w:p>
    <w:p w:rsidR="008F46FF" w:rsidRPr="00E245B7" w:rsidRDefault="008F46FF" w:rsidP="00EC7B22">
      <w:pPr>
        <w:shd w:val="clear" w:color="auto" w:fill="FFFFFF"/>
        <w:spacing w:after="0"/>
        <w:jc w:val="both"/>
        <w:rPr>
          <w:rFonts w:ascii="Times New Roman" w:hAnsi="Times New Roman"/>
          <w:sz w:val="28"/>
          <w:szCs w:val="28"/>
          <w:lang w:val="uk-UA" w:eastAsia="ru-RU"/>
        </w:rPr>
      </w:pPr>
      <w:r w:rsidRPr="00E245B7">
        <w:rPr>
          <w:rFonts w:ascii="Times New Roman" w:hAnsi="Times New Roman"/>
          <w:sz w:val="28"/>
          <w:szCs w:val="28"/>
          <w:lang w:val="uk-UA" w:eastAsia="ru-RU"/>
        </w:rPr>
        <w:t xml:space="preserve">Начальник фінансового управління </w:t>
      </w:r>
    </w:p>
    <w:p w:rsidR="008F46FF" w:rsidRPr="00E245B7" w:rsidRDefault="008F46FF" w:rsidP="00EC7B22">
      <w:pPr>
        <w:shd w:val="clear" w:color="auto" w:fill="FFFFFF"/>
        <w:spacing w:after="0"/>
        <w:jc w:val="both"/>
        <w:rPr>
          <w:rFonts w:ascii="Times New Roman" w:hAnsi="Times New Roman"/>
          <w:b/>
          <w:sz w:val="28"/>
          <w:szCs w:val="28"/>
          <w:lang w:val="uk-UA" w:eastAsia="ru-RU"/>
        </w:rPr>
      </w:pPr>
      <w:r w:rsidRPr="00E245B7">
        <w:rPr>
          <w:rFonts w:ascii="Times New Roman" w:hAnsi="Times New Roman"/>
          <w:sz w:val="28"/>
          <w:szCs w:val="28"/>
          <w:lang w:val="uk-UA" w:eastAsia="ru-RU"/>
        </w:rPr>
        <w:t>Рівненської райдержадміністрації                                         Наталія БОЙКО</w:t>
      </w:r>
    </w:p>
    <w:p w:rsidR="008F46FF" w:rsidRPr="00E245B7" w:rsidRDefault="008F46FF" w:rsidP="00DA0FB2">
      <w:pPr>
        <w:shd w:val="clear" w:color="auto" w:fill="FFFFFF"/>
        <w:spacing w:before="100" w:beforeAutospacing="1" w:after="100" w:afterAutospacing="1" w:line="240" w:lineRule="auto"/>
        <w:ind w:left="720"/>
        <w:jc w:val="both"/>
        <w:rPr>
          <w:rFonts w:ascii="Times New Roman" w:hAnsi="Times New Roman"/>
          <w:sz w:val="28"/>
          <w:szCs w:val="28"/>
          <w:lang w:val="uk-UA" w:eastAsia="ru-RU"/>
        </w:rPr>
      </w:pPr>
    </w:p>
    <w:p w:rsidR="008F46FF" w:rsidRPr="00E245B7" w:rsidRDefault="008F46FF" w:rsidP="00055C63">
      <w:pPr>
        <w:jc w:val="both"/>
        <w:rPr>
          <w:rFonts w:ascii="PT Serif" w:hAnsi="PT Serif"/>
          <w:color w:val="282828"/>
          <w:sz w:val="30"/>
          <w:szCs w:val="30"/>
          <w:lang w:val="uk-UA"/>
        </w:rPr>
      </w:pPr>
    </w:p>
    <w:p w:rsidR="008F46FF" w:rsidRPr="00E245B7" w:rsidRDefault="008F46FF" w:rsidP="00EC7B22">
      <w:pPr>
        <w:jc w:val="both"/>
        <w:rPr>
          <w:rFonts w:ascii="Georgia" w:hAnsi="Georgia"/>
          <w:color w:val="777777"/>
          <w:sz w:val="18"/>
          <w:szCs w:val="18"/>
          <w:lang w:val="uk-UA"/>
        </w:rPr>
      </w:pPr>
      <w:r w:rsidRPr="00E245B7">
        <w:rPr>
          <w:rFonts w:ascii="PT Serif" w:hAnsi="PT Serif"/>
          <w:color w:val="282828"/>
          <w:sz w:val="30"/>
          <w:szCs w:val="30"/>
          <w:lang w:val="uk-UA"/>
        </w:rPr>
        <w:tab/>
      </w:r>
    </w:p>
    <w:p w:rsidR="008F46FF" w:rsidRPr="00E245B7" w:rsidRDefault="008F46FF">
      <w:pPr>
        <w:rPr>
          <w:lang w:val="uk-UA"/>
        </w:rPr>
      </w:pPr>
    </w:p>
    <w:sectPr w:rsidR="008F46FF" w:rsidRPr="00E245B7" w:rsidSect="00F93006">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FF" w:rsidRDefault="008F46FF">
      <w:r>
        <w:separator/>
      </w:r>
    </w:p>
  </w:endnote>
  <w:endnote w:type="continuationSeparator" w:id="0">
    <w:p w:rsidR="008F46FF" w:rsidRDefault="008F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FF" w:rsidRDefault="008F46FF">
      <w:r>
        <w:separator/>
      </w:r>
    </w:p>
  </w:footnote>
  <w:footnote w:type="continuationSeparator" w:id="0">
    <w:p w:rsidR="008F46FF" w:rsidRDefault="008F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FF" w:rsidRDefault="008F46FF" w:rsidP="00E80BF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F46FF" w:rsidRDefault="008F46F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FF" w:rsidRDefault="008F46FF" w:rsidP="00E80BF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E1E03">
      <w:rPr>
        <w:rStyle w:val="aa"/>
        <w:noProof/>
      </w:rPr>
      <w:t>10</w:t>
    </w:r>
    <w:r>
      <w:rPr>
        <w:rStyle w:val="aa"/>
      </w:rPr>
      <w:fldChar w:fldCharType="end"/>
    </w:r>
  </w:p>
  <w:p w:rsidR="008F46FF" w:rsidRDefault="008F46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40CF8"/>
    <w:multiLevelType w:val="multilevel"/>
    <w:tmpl w:val="95CC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55BD0"/>
    <w:multiLevelType w:val="multilevel"/>
    <w:tmpl w:val="283E452A"/>
    <w:lvl w:ilvl="0">
      <w:start w:val="1"/>
      <w:numFmt w:val="bullet"/>
      <w:lvlText w:val="-"/>
      <w:lvlJc w:val="left"/>
      <w:pPr>
        <w:tabs>
          <w:tab w:val="num" w:pos="1305"/>
        </w:tabs>
        <w:ind w:left="1305" w:hanging="765"/>
      </w:pPr>
      <w:rPr>
        <w:rFonts w:ascii="Times New Roman" w:hAnsi="Times New Roman" w:hint="default"/>
        <w:sz w:val="28"/>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0F13A3A"/>
    <w:multiLevelType w:val="hybridMultilevel"/>
    <w:tmpl w:val="D2DCCF3A"/>
    <w:lvl w:ilvl="0" w:tplc="EE583168">
      <w:start w:val="26"/>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896"/>
    <w:rsid w:val="000273DF"/>
    <w:rsid w:val="00032F43"/>
    <w:rsid w:val="00051854"/>
    <w:rsid w:val="00055C63"/>
    <w:rsid w:val="00062B83"/>
    <w:rsid w:val="000635BD"/>
    <w:rsid w:val="000B0579"/>
    <w:rsid w:val="000F2976"/>
    <w:rsid w:val="00102636"/>
    <w:rsid w:val="00110252"/>
    <w:rsid w:val="00136AAD"/>
    <w:rsid w:val="0018460D"/>
    <w:rsid w:val="0021073F"/>
    <w:rsid w:val="0023412B"/>
    <w:rsid w:val="00243467"/>
    <w:rsid w:val="00243F56"/>
    <w:rsid w:val="0025726C"/>
    <w:rsid w:val="002660C5"/>
    <w:rsid w:val="00286355"/>
    <w:rsid w:val="002C48E9"/>
    <w:rsid w:val="002F46C0"/>
    <w:rsid w:val="00337B19"/>
    <w:rsid w:val="00343C45"/>
    <w:rsid w:val="00350C82"/>
    <w:rsid w:val="00355441"/>
    <w:rsid w:val="00375DA8"/>
    <w:rsid w:val="00396D3A"/>
    <w:rsid w:val="003A288B"/>
    <w:rsid w:val="003B10A8"/>
    <w:rsid w:val="003B2E4C"/>
    <w:rsid w:val="003B7C24"/>
    <w:rsid w:val="003D41F1"/>
    <w:rsid w:val="003E2FAC"/>
    <w:rsid w:val="00495187"/>
    <w:rsid w:val="004C4D48"/>
    <w:rsid w:val="004C6350"/>
    <w:rsid w:val="00512008"/>
    <w:rsid w:val="00550490"/>
    <w:rsid w:val="00557428"/>
    <w:rsid w:val="00557C23"/>
    <w:rsid w:val="00562A49"/>
    <w:rsid w:val="005671C4"/>
    <w:rsid w:val="005A6FE1"/>
    <w:rsid w:val="005B0B05"/>
    <w:rsid w:val="005D1AEF"/>
    <w:rsid w:val="005D4193"/>
    <w:rsid w:val="005F27B9"/>
    <w:rsid w:val="005F27C8"/>
    <w:rsid w:val="00660423"/>
    <w:rsid w:val="006630A2"/>
    <w:rsid w:val="00691874"/>
    <w:rsid w:val="006B7D83"/>
    <w:rsid w:val="007334A7"/>
    <w:rsid w:val="0073608B"/>
    <w:rsid w:val="00743F52"/>
    <w:rsid w:val="007642E9"/>
    <w:rsid w:val="007737FA"/>
    <w:rsid w:val="007C2EFF"/>
    <w:rsid w:val="007E3248"/>
    <w:rsid w:val="00804A7B"/>
    <w:rsid w:val="00811C70"/>
    <w:rsid w:val="008160CB"/>
    <w:rsid w:val="00840604"/>
    <w:rsid w:val="00856D13"/>
    <w:rsid w:val="00882A27"/>
    <w:rsid w:val="008927AB"/>
    <w:rsid w:val="008A3209"/>
    <w:rsid w:val="008B7507"/>
    <w:rsid w:val="008C426B"/>
    <w:rsid w:val="008F46FF"/>
    <w:rsid w:val="00937B3B"/>
    <w:rsid w:val="00957896"/>
    <w:rsid w:val="00983D34"/>
    <w:rsid w:val="00997DA8"/>
    <w:rsid w:val="009A61D4"/>
    <w:rsid w:val="009D1300"/>
    <w:rsid w:val="009D246E"/>
    <w:rsid w:val="00A918DB"/>
    <w:rsid w:val="00A933F3"/>
    <w:rsid w:val="00AC0467"/>
    <w:rsid w:val="00AC2F59"/>
    <w:rsid w:val="00AE22A2"/>
    <w:rsid w:val="00B06BBB"/>
    <w:rsid w:val="00B3722A"/>
    <w:rsid w:val="00B470F0"/>
    <w:rsid w:val="00BE1E03"/>
    <w:rsid w:val="00BE40BC"/>
    <w:rsid w:val="00C10586"/>
    <w:rsid w:val="00C112D9"/>
    <w:rsid w:val="00C13415"/>
    <w:rsid w:val="00C15935"/>
    <w:rsid w:val="00C51F7C"/>
    <w:rsid w:val="00C53F6F"/>
    <w:rsid w:val="00C60F09"/>
    <w:rsid w:val="00C82CB9"/>
    <w:rsid w:val="00C92013"/>
    <w:rsid w:val="00CB6CCA"/>
    <w:rsid w:val="00CC1996"/>
    <w:rsid w:val="00CC2543"/>
    <w:rsid w:val="00CD5767"/>
    <w:rsid w:val="00CF16A0"/>
    <w:rsid w:val="00D24D70"/>
    <w:rsid w:val="00D3056E"/>
    <w:rsid w:val="00D632D7"/>
    <w:rsid w:val="00D75220"/>
    <w:rsid w:val="00DA0FB2"/>
    <w:rsid w:val="00DA390D"/>
    <w:rsid w:val="00DA3D9E"/>
    <w:rsid w:val="00DA51F0"/>
    <w:rsid w:val="00E245B7"/>
    <w:rsid w:val="00E25E13"/>
    <w:rsid w:val="00E30E13"/>
    <w:rsid w:val="00E33E33"/>
    <w:rsid w:val="00E65E22"/>
    <w:rsid w:val="00E75D2F"/>
    <w:rsid w:val="00E80BF8"/>
    <w:rsid w:val="00EC2DA2"/>
    <w:rsid w:val="00EC7B22"/>
    <w:rsid w:val="00F11530"/>
    <w:rsid w:val="00F178AE"/>
    <w:rsid w:val="00F7480C"/>
    <w:rsid w:val="00F85179"/>
    <w:rsid w:val="00F93006"/>
    <w:rsid w:val="00FA522F"/>
    <w:rsid w:val="00FB10FB"/>
    <w:rsid w:val="00FB7B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2B99D"/>
  <w15:docId w15:val="{D79F829F-2C1D-4FF7-8C36-38B4724B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0BC"/>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57C2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557C23"/>
    <w:rPr>
      <w:rFonts w:cs="Times New Roman"/>
      <w:b/>
      <w:bCs/>
    </w:rPr>
  </w:style>
  <w:style w:type="table" w:styleId="a5">
    <w:name w:val="Table Grid"/>
    <w:basedOn w:val="a1"/>
    <w:uiPriority w:val="99"/>
    <w:rsid w:val="00D305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2C48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2C48E9"/>
    <w:rPr>
      <w:rFonts w:cs="Times New Roman"/>
    </w:rPr>
  </w:style>
  <w:style w:type="character" w:customStyle="1" w:styleId="rvts37">
    <w:name w:val="rvts37"/>
    <w:basedOn w:val="a0"/>
    <w:uiPriority w:val="99"/>
    <w:rsid w:val="002C48E9"/>
    <w:rPr>
      <w:rFonts w:cs="Times New Roman"/>
    </w:rPr>
  </w:style>
  <w:style w:type="character" w:customStyle="1" w:styleId="rvts9">
    <w:name w:val="rvts9"/>
    <w:basedOn w:val="a0"/>
    <w:uiPriority w:val="99"/>
    <w:rsid w:val="002C48E9"/>
    <w:rPr>
      <w:rFonts w:cs="Times New Roman"/>
    </w:rPr>
  </w:style>
  <w:style w:type="paragraph" w:styleId="a6">
    <w:name w:val="Balloon Text"/>
    <w:basedOn w:val="a"/>
    <w:link w:val="a7"/>
    <w:uiPriority w:val="99"/>
    <w:semiHidden/>
    <w:rsid w:val="00396D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396D3A"/>
    <w:rPr>
      <w:rFonts w:ascii="Tahoma" w:hAnsi="Tahoma" w:cs="Tahoma"/>
      <w:sz w:val="16"/>
      <w:szCs w:val="16"/>
    </w:rPr>
  </w:style>
  <w:style w:type="paragraph" w:styleId="a8">
    <w:name w:val="header"/>
    <w:basedOn w:val="a"/>
    <w:link w:val="a9"/>
    <w:uiPriority w:val="99"/>
    <w:rsid w:val="0021073F"/>
    <w:pPr>
      <w:tabs>
        <w:tab w:val="center" w:pos="4819"/>
        <w:tab w:val="right" w:pos="9639"/>
      </w:tabs>
    </w:pPr>
  </w:style>
  <w:style w:type="character" w:customStyle="1" w:styleId="a9">
    <w:name w:val="Верхний колонтитул Знак"/>
    <w:basedOn w:val="a0"/>
    <w:link w:val="a8"/>
    <w:uiPriority w:val="99"/>
    <w:semiHidden/>
    <w:locked/>
    <w:rsid w:val="00937B3B"/>
    <w:rPr>
      <w:rFonts w:cs="Times New Roman"/>
      <w:lang w:val="ru-RU" w:eastAsia="en-US"/>
    </w:rPr>
  </w:style>
  <w:style w:type="character" w:styleId="aa">
    <w:name w:val="page number"/>
    <w:basedOn w:val="a0"/>
    <w:uiPriority w:val="99"/>
    <w:rsid w:val="0021073F"/>
    <w:rPr>
      <w:rFonts w:cs="Times New Roman"/>
    </w:rPr>
  </w:style>
  <w:style w:type="paragraph" w:styleId="ab">
    <w:name w:val="footer"/>
    <w:basedOn w:val="a"/>
    <w:link w:val="ac"/>
    <w:uiPriority w:val="99"/>
    <w:rsid w:val="000273DF"/>
    <w:pPr>
      <w:tabs>
        <w:tab w:val="center" w:pos="4819"/>
        <w:tab w:val="right" w:pos="9639"/>
      </w:tabs>
    </w:pPr>
  </w:style>
  <w:style w:type="character" w:customStyle="1" w:styleId="ac">
    <w:name w:val="Нижний колонтитул Знак"/>
    <w:basedOn w:val="a0"/>
    <w:link w:val="ab"/>
    <w:uiPriority w:val="99"/>
    <w:semiHidden/>
    <w:locked/>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238364">
      <w:marLeft w:val="0"/>
      <w:marRight w:val="0"/>
      <w:marTop w:val="0"/>
      <w:marBottom w:val="0"/>
      <w:divBdr>
        <w:top w:val="none" w:sz="0" w:space="0" w:color="auto"/>
        <w:left w:val="none" w:sz="0" w:space="0" w:color="auto"/>
        <w:bottom w:val="none" w:sz="0" w:space="0" w:color="auto"/>
        <w:right w:val="none" w:sz="0" w:space="0" w:color="auto"/>
      </w:divBdr>
    </w:div>
    <w:div w:id="1073238365">
      <w:marLeft w:val="0"/>
      <w:marRight w:val="0"/>
      <w:marTop w:val="0"/>
      <w:marBottom w:val="0"/>
      <w:divBdr>
        <w:top w:val="none" w:sz="0" w:space="0" w:color="auto"/>
        <w:left w:val="none" w:sz="0" w:space="0" w:color="auto"/>
        <w:bottom w:val="none" w:sz="0" w:space="0" w:color="auto"/>
        <w:right w:val="none" w:sz="0" w:space="0" w:color="auto"/>
      </w:divBdr>
    </w:div>
    <w:div w:id="1073238366">
      <w:marLeft w:val="0"/>
      <w:marRight w:val="0"/>
      <w:marTop w:val="0"/>
      <w:marBottom w:val="0"/>
      <w:divBdr>
        <w:top w:val="none" w:sz="0" w:space="0" w:color="auto"/>
        <w:left w:val="none" w:sz="0" w:space="0" w:color="auto"/>
        <w:bottom w:val="none" w:sz="0" w:space="0" w:color="auto"/>
        <w:right w:val="none" w:sz="0" w:space="0" w:color="auto"/>
      </w:divBdr>
    </w:div>
    <w:div w:id="1073238367">
      <w:marLeft w:val="0"/>
      <w:marRight w:val="0"/>
      <w:marTop w:val="0"/>
      <w:marBottom w:val="0"/>
      <w:divBdr>
        <w:top w:val="none" w:sz="0" w:space="0" w:color="auto"/>
        <w:left w:val="none" w:sz="0" w:space="0" w:color="auto"/>
        <w:bottom w:val="none" w:sz="0" w:space="0" w:color="auto"/>
        <w:right w:val="none" w:sz="0" w:space="0" w:color="auto"/>
      </w:divBdr>
      <w:divsChild>
        <w:div w:id="1073238363">
          <w:marLeft w:val="0"/>
          <w:marRight w:val="0"/>
          <w:marTop w:val="0"/>
          <w:marBottom w:val="0"/>
          <w:divBdr>
            <w:top w:val="none" w:sz="0" w:space="0" w:color="auto"/>
            <w:left w:val="none" w:sz="0" w:space="0" w:color="auto"/>
            <w:bottom w:val="none" w:sz="0" w:space="0" w:color="auto"/>
            <w:right w:val="none" w:sz="0" w:space="0" w:color="auto"/>
          </w:divBdr>
        </w:div>
      </w:divsChild>
    </w:div>
    <w:div w:id="1073238368">
      <w:marLeft w:val="0"/>
      <w:marRight w:val="0"/>
      <w:marTop w:val="0"/>
      <w:marBottom w:val="0"/>
      <w:divBdr>
        <w:top w:val="none" w:sz="0" w:space="0" w:color="auto"/>
        <w:left w:val="none" w:sz="0" w:space="0" w:color="auto"/>
        <w:bottom w:val="none" w:sz="0" w:space="0" w:color="auto"/>
        <w:right w:val="none" w:sz="0" w:space="0" w:color="auto"/>
      </w:divBdr>
    </w:div>
    <w:div w:id="1073238369">
      <w:marLeft w:val="0"/>
      <w:marRight w:val="0"/>
      <w:marTop w:val="0"/>
      <w:marBottom w:val="0"/>
      <w:divBdr>
        <w:top w:val="none" w:sz="0" w:space="0" w:color="auto"/>
        <w:left w:val="none" w:sz="0" w:space="0" w:color="auto"/>
        <w:bottom w:val="none" w:sz="0" w:space="0" w:color="auto"/>
        <w:right w:val="none" w:sz="0" w:space="0" w:color="auto"/>
      </w:divBdr>
    </w:div>
    <w:div w:id="1073238370">
      <w:marLeft w:val="0"/>
      <w:marRight w:val="0"/>
      <w:marTop w:val="0"/>
      <w:marBottom w:val="0"/>
      <w:divBdr>
        <w:top w:val="none" w:sz="0" w:space="0" w:color="auto"/>
        <w:left w:val="none" w:sz="0" w:space="0" w:color="auto"/>
        <w:bottom w:val="none" w:sz="0" w:space="0" w:color="auto"/>
        <w:right w:val="none" w:sz="0" w:space="0" w:color="auto"/>
      </w:divBdr>
    </w:div>
    <w:div w:id="1073238371">
      <w:marLeft w:val="0"/>
      <w:marRight w:val="0"/>
      <w:marTop w:val="0"/>
      <w:marBottom w:val="0"/>
      <w:divBdr>
        <w:top w:val="none" w:sz="0" w:space="0" w:color="auto"/>
        <w:left w:val="none" w:sz="0" w:space="0" w:color="auto"/>
        <w:bottom w:val="none" w:sz="0" w:space="0" w:color="auto"/>
        <w:right w:val="none" w:sz="0" w:space="0" w:color="auto"/>
      </w:divBdr>
    </w:div>
    <w:div w:id="1073238372">
      <w:marLeft w:val="0"/>
      <w:marRight w:val="0"/>
      <w:marTop w:val="0"/>
      <w:marBottom w:val="0"/>
      <w:divBdr>
        <w:top w:val="none" w:sz="0" w:space="0" w:color="auto"/>
        <w:left w:val="none" w:sz="0" w:space="0" w:color="auto"/>
        <w:bottom w:val="none" w:sz="0" w:space="0" w:color="auto"/>
        <w:right w:val="none" w:sz="0" w:space="0" w:color="auto"/>
      </w:divBdr>
    </w:div>
    <w:div w:id="1073238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12398</Words>
  <Characters>7067</Characters>
  <Application>Microsoft Office Word</Application>
  <DocSecurity>0</DocSecurity>
  <Lines>58</Lines>
  <Paragraphs>38</Paragraphs>
  <ScaleCrop>false</ScaleCrop>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ПРОГНОЗ</dc:title>
  <dc:subject/>
  <dc:creator>User</dc:creator>
  <cp:keywords/>
  <dc:description/>
  <cp:lastModifiedBy>Admin</cp:lastModifiedBy>
  <cp:revision>11</cp:revision>
  <cp:lastPrinted>2021-09-02T12:13:00Z</cp:lastPrinted>
  <dcterms:created xsi:type="dcterms:W3CDTF">2021-08-31T12:09:00Z</dcterms:created>
  <dcterms:modified xsi:type="dcterms:W3CDTF">2021-09-02T13:26:00Z</dcterms:modified>
</cp:coreProperties>
</file>