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210" w:type="dxa"/>
        <w:jc w:val="left"/>
        <w:tblInd w:w="46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</w:tblGrid>
      <w:tr>
        <w:trPr>
          <w:trHeight w:val="1618" w:hRule="atLeast"/>
        </w:trPr>
        <w:tc>
          <w:tcPr>
            <w:tcW w:w="5210" w:type="dxa"/>
            <w:tcBorders/>
          </w:tcPr>
          <w:p>
            <w:pPr>
              <w:pStyle w:val="Normal"/>
              <w:ind w:left="592" w:right="57"/>
              <w:rPr>
                <w:b/>
                <w:szCs w:val="28"/>
              </w:rPr>
            </w:pPr>
            <w:r>
              <w:rPr>
                <w:b/>
                <w:szCs w:val="28"/>
              </w:rPr>
              <w:t>ЗАТВЕРДЖЕНО</w:t>
            </w:r>
            <w:r>
              <w:rPr>
                <w:szCs w:val="28"/>
              </w:rPr>
              <w:t xml:space="preserve">                                                                            Наказом управління з питань ветеранської політики Рівненської                                                                    районної державної адміністрації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60" w:leader="none"/>
              </w:tabs>
              <w:autoSpaceDE w:val="false"/>
              <w:ind w:left="592" w:right="57"/>
              <w:rPr>
                <w:rFonts w:ascii="Bookman Old Style" w:hAnsi="Bookman Old Style" w:cs="Bookman Old Style"/>
                <w:bCs/>
                <w:szCs w:val="28"/>
              </w:rPr>
            </w:pPr>
            <w:r>
              <w:rPr>
                <w:bCs/>
                <w:szCs w:val="28"/>
              </w:rPr>
              <w:t>15 квітня 2026 року № 13</w:t>
            </w:r>
          </w:p>
          <w:p>
            <w:pPr>
              <w:pStyle w:val="Normal"/>
              <w:jc w:val="both"/>
              <w:rPr>
                <w:rFonts w:ascii="Bookman Old Style" w:hAnsi="Bookman Old Style" w:cs="Bookman Old Style"/>
                <w:b/>
                <w:bCs/>
                <w:sz w:val="24"/>
                <w:szCs w:val="28"/>
              </w:rPr>
            </w:pPr>
            <w:r>
              <w:rPr>
                <w:rFonts w:cs="Bookman Old Style" w:ascii="Bookman Old Style" w:hAnsi="Bookman Old Style"/>
                <w:b/>
                <w:bCs/>
                <w:sz w:val="24"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ТЕХНОЛОГІЧНА КАРТКА</w:t>
      </w:r>
    </w:p>
    <w:p>
      <w:pPr>
        <w:pStyle w:val="Normal"/>
        <w:tabs>
          <w:tab w:val="clear" w:pos="708"/>
          <w:tab w:val="left" w:pos="3969" w:leader="none"/>
        </w:tabs>
        <w:jc w:val="center"/>
        <w:rPr>
          <w:b/>
          <w:sz w:val="24"/>
        </w:rPr>
      </w:pPr>
      <w:r>
        <w:rPr>
          <w:b/>
          <w:sz w:val="24"/>
        </w:rPr>
        <w:t xml:space="preserve">адміністративної послуги </w:t>
      </w:r>
    </w:p>
    <w:p>
      <w:pPr>
        <w:pStyle w:val="Normal"/>
        <w:jc w:val="center"/>
        <w:rPr>
          <w:b/>
          <w:bCs/>
          <w:color w:val="0C0C0C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</w:t>
      </w:r>
    </w:p>
    <w:p>
      <w:pPr>
        <w:pStyle w:val="Normal"/>
        <w:jc w:val="center"/>
        <w:rPr>
          <w:b/>
          <w:bCs/>
          <w:color w:val="0C0C0C"/>
          <w:sz w:val="16"/>
          <w:szCs w:val="16"/>
        </w:rPr>
      </w:pPr>
      <w:r>
        <w:rPr>
          <w:b/>
          <w:bCs/>
          <w:color w:val="0C0C0C"/>
          <w:sz w:val="16"/>
          <w:szCs w:val="16"/>
        </w:rPr>
      </w:r>
    </w:p>
    <w:p>
      <w:pPr>
        <w:pStyle w:val="Normal"/>
        <w:jc w:val="center"/>
        <w:rPr/>
      </w:pPr>
      <w:r>
        <w:rPr>
          <w:b/>
          <w:sz w:val="24"/>
        </w:rPr>
        <w:t xml:space="preserve">Управління  з питань ветеранської політики </w:t>
      </w:r>
    </w:p>
    <w:p>
      <w:pPr>
        <w:pStyle w:val="Normal"/>
        <w:jc w:val="center"/>
        <w:rPr/>
      </w:pPr>
      <w:r>
        <w:rPr>
          <w:b/>
          <w:sz w:val="24"/>
          <w:u w:val="single"/>
        </w:rPr>
        <w:t>Рівненської районної державної адміністрації Рівненської області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(найменування суб’єкта надання адміністративної послуги)</w:t>
      </w:r>
    </w:p>
    <w:tbl>
      <w:tblPr>
        <w:tblW w:w="1017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44"/>
        <w:gridCol w:w="3284"/>
        <w:gridCol w:w="685"/>
        <w:gridCol w:w="1950"/>
      </w:tblGrid>
      <w:tr>
        <w:trPr>
          <w:trHeight w:val="765" w:hRule="atLeast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Інформація про центр надання адміністративних послуг </w:t>
            </w:r>
          </w:p>
        </w:tc>
      </w:tr>
      <w:tr>
        <w:trPr>
          <w:trHeight w:val="58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hanging="391" w:righ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№  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>
        <w:trPr>
          <w:trHeight w:val="1237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left="72" w:righ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ar-SA"/>
              </w:rPr>
              <w:t>Прийом і перевірка правильності заповнення заяви, правильності  та повноти пакету документів, реєстрація заяви, повідомлення заявника про орієнтовний термін виконання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>
            <w:pPr>
              <w:pStyle w:val="BodyText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Адміністратор ЦНАПу/ або уповноважена особа територіальної громади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Під час безпосереднього прийому від суб’єкта звернення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2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Передача повного пакету документів до Управління  з питань ветеранської політики Рівненської  районної державної адміністрації (далі – УВП)</w:t>
            </w:r>
          </w:p>
          <w:p>
            <w:pPr>
              <w:pStyle w:val="Normal"/>
              <w:ind w:left="72" w:right="0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Адміністратор ЦНАПу/ або уповноважена особа територіальної громади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Не пізніше наступного дня з дня надходження повного пакету документів</w:t>
            </w:r>
          </w:p>
        </w:tc>
      </w:tr>
      <w:tr>
        <w:trPr>
          <w:trHeight w:val="86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Перевірка повноти поданих документів та правильність їх оформлення, та, у разі потреби, повернення документів адміністратору (спеціалісту) </w:t>
            </w:r>
            <w:r>
              <w:rPr>
                <w:rFonts w:cs="Times New Roman" w:ascii="Times New Roman" w:hAnsi="Times New Roman"/>
              </w:rPr>
              <w:t>ЦНАПу або уповноваженій особі територіальної громади</w:t>
            </w:r>
            <w:r>
              <w:rPr>
                <w:rFonts w:cs="Times New Roman" w:ascii="Times New Roman" w:hAnsi="Times New Roman"/>
                <w:color w:val="000000"/>
              </w:rPr>
              <w:t xml:space="preserve"> для доопрацювання </w:t>
            </w:r>
          </w:p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Протягом трьох робочих днів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Формування  особової справи</w:t>
            </w:r>
          </w:p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Протягом  дня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Передача </w:t>
            </w:r>
            <w:r>
              <w:rPr>
                <w:sz w:val="24"/>
                <w:lang w:val="ru-RU"/>
              </w:rPr>
              <w:t>до ЦНАПу</w:t>
            </w:r>
            <w:r>
              <w:rPr>
                <w:color w:val="C0000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або уповноваженій особі територіальної громади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інформації щодо встановлення статусу та повідомлення про відмову в статусі та видача посвідчення при встановлені статусу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Протягом наступного робочого дня</w:t>
            </w:r>
          </w:p>
        </w:tc>
      </w:tr>
      <w:tr>
        <w:trPr/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ind w:right="45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Загальна кількість днів надання послуг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>
        <w:trPr/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ind w:right="45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Загальна кількість днів (передбачена законодавством)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>
      <w:pPr>
        <w:pStyle w:val="Normal"/>
        <w:widowControl w:val="false"/>
        <w:autoSpaceDE w:val="false"/>
        <w:spacing w:before="60" w:after="0"/>
        <w:ind w:left="52" w:right="6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 xml:space="preserve">* </w:t>
      </w:r>
      <w:r>
        <w:rPr>
          <w:b/>
          <w:color w:val="0C0C0C"/>
          <w:sz w:val="27"/>
          <w:szCs w:val="27"/>
        </w:rPr>
        <w:t>5 календарних днів</w:t>
      </w:r>
      <w:r>
        <w:rPr>
          <w:color w:val="0C0C0C"/>
          <w:sz w:val="27"/>
          <w:szCs w:val="27"/>
        </w:rPr>
        <w:t xml:space="preserve"> з дня надходження заяви особи, якій надано статус особи з інвалідністю внаслідок війни, з усіма необхідними документами.</w:t>
      </w:r>
      <w:r>
        <w:rPr>
          <w:color w:val="00000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У разі якщо заява подана одночасно із заявою про надання статусу особи з інвалідністю внаслідок війни, строк продовжується на період надання відповідної адміністративної послуги — </w:t>
      </w:r>
      <w:r>
        <w:rPr>
          <w:b/>
          <w:color w:val="0C0C0C"/>
          <w:sz w:val="27"/>
          <w:szCs w:val="27"/>
        </w:rPr>
        <w:t>30 календарних днів.</w:t>
      </w:r>
    </w:p>
    <w:p>
      <w:pPr>
        <w:pStyle w:val="Normal"/>
        <w:rPr>
          <w:color w:val="000000"/>
          <w:sz w:val="27"/>
          <w:szCs w:val="22"/>
        </w:rPr>
      </w:pPr>
      <w:r>
        <w:rPr>
          <w:color w:val="000000"/>
          <w:sz w:val="27"/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b/>
          <w:sz w:val="24"/>
          <w:szCs w:val="22"/>
        </w:rPr>
      </w:pPr>
      <w:r>
        <w:rPr>
          <w:b/>
          <w:sz w:val="24"/>
          <w:szCs w:val="22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  <w:szCs w:val="22"/>
        </w:rPr>
      </w:pPr>
      <w:r>
        <w:rPr>
          <w:b/>
          <w:sz w:val="24"/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alibr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cc"/>
    <w:family w:val="swiss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4962" w:left="0" w:right="0"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0"/>
      <w:lang w:val="en-US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cs="Times New Roman"/>
      <w:sz w:val="24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cs="Times New Roman"/>
      <w:sz w:val="24"/>
    </w:rPr>
  </w:style>
  <w:style w:type="character" w:styleId="WW8Num4z1">
    <w:name w:val="WW8Num4z1"/>
    <w:qFormat/>
    <w:rPr>
      <w:rFonts w:cs="Times New Roman"/>
    </w:rPr>
  </w:style>
  <w:style w:type="character" w:styleId="Style12">
    <w:name w:val="Основной шрифт абзаца"/>
    <w:qFormat/>
    <w:rPr/>
  </w:style>
  <w:style w:type="character" w:styleId="Hyperlink">
    <w:name w:val="Hyperlink"/>
    <w:basedOn w:val="Style12"/>
    <w:rPr>
      <w:color w:val="0000FF"/>
      <w:u w:val="single"/>
    </w:rPr>
  </w:style>
  <w:style w:type="character" w:styleId="rvts0">
    <w:name w:val="rvts0"/>
    <w:basedOn w:val="Style12"/>
    <w:qFormat/>
    <w:rPr/>
  </w:style>
  <w:style w:type="character" w:styleId="rvts15">
    <w:name w:val="rvts15"/>
    <w:basedOn w:val="Style12"/>
    <w:qFormat/>
    <w:rPr/>
  </w:style>
  <w:style w:type="character" w:styleId="rvts23">
    <w:name w:val="rvts23"/>
    <w:basedOn w:val="Style12"/>
    <w:qFormat/>
    <w:rPr/>
  </w:style>
  <w:style w:type="character" w:styleId="rvts9">
    <w:name w:val="rvts9"/>
    <w:basedOn w:val="Style12"/>
    <w:qFormat/>
    <w:rPr/>
  </w:style>
  <w:style w:type="character" w:styleId="Emphasis">
    <w:name w:val="Emphasis"/>
    <w:basedOn w:val="Style12"/>
    <w:qFormat/>
    <w:rPr>
      <w:i/>
      <w:iCs/>
    </w:rPr>
  </w:style>
  <w:style w:type="character" w:styleId="rvts48">
    <w:name w:val="rvts48"/>
    <w:basedOn w:val="Style12"/>
    <w:qFormat/>
    <w:rPr/>
  </w:style>
  <w:style w:type="character" w:styleId="FollowedHyperlink">
    <w:name w:val="FollowedHyperlink"/>
    <w:basedOn w:val="Style12"/>
    <w:rPr>
      <w:color w:val="800080"/>
      <w:u w:val="single"/>
    </w:rPr>
  </w:style>
  <w:style w:type="character" w:styleId="rvts52">
    <w:name w:val="rvts52"/>
    <w:basedOn w:val="Style12"/>
    <w:qFormat/>
    <w:rPr/>
  </w:style>
  <w:style w:type="character" w:styleId="rvts44">
    <w:name w:val="rvts44"/>
    <w:basedOn w:val="Style12"/>
    <w:qFormat/>
    <w:rPr/>
  </w:style>
  <w:style w:type="character" w:styleId="Style13">
    <w:name w:val="Знак Знак"/>
    <w:basedOn w:val="Style12"/>
    <w:qFormat/>
    <w:rPr>
      <w:rFonts w:ascii="Courier New" w:hAnsi="Courier New" w:cs="Courier New"/>
      <w:sz w:val="24"/>
      <w:szCs w:val="24"/>
      <w:lang w:val="ru-RU"/>
    </w:rPr>
  </w:style>
  <w:style w:type="character" w:styleId="Style14">
    <w:name w:val=" Знак Знак"/>
    <w:basedOn w:val="Style12"/>
    <w:qFormat/>
    <w:rPr>
      <w:rFonts w:ascii="Calibri" w:hAnsi="Calibri" w:cs="Calibri"/>
      <w:sz w:val="22"/>
      <w:szCs w:val="22"/>
      <w:lang w:val="ru-RU"/>
    </w:rPr>
  </w:style>
  <w:style w:type="character" w:styleId="12">
    <w:name w:val="Табл12 Знак"/>
    <w:basedOn w:val="Style12"/>
    <w:qFormat/>
    <w:rPr>
      <w:rFonts w:ascii="Calibri" w:hAnsi="Calibri" w:cs="Calibri"/>
      <w:sz w:val="24"/>
      <w:szCs w:val="24"/>
      <w:shd w:fill="FFFFFF" w:val="clear"/>
    </w:rPr>
  </w:style>
  <w:style w:type="character" w:styleId="Strong">
    <w:name w:val="Strong"/>
    <w:basedOn w:val="Style12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20"/>
    </w:pPr>
    <w:rPr>
      <w:rFonts w:ascii="Calibri" w:hAnsi="Calibri" w:cs="Calibri"/>
      <w:sz w:val="22"/>
      <w:szCs w:val="22"/>
      <w:lang w:val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5">
    <w:name w:val="Îáû÷íûé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bidi="ar-SA" w:val="en-US" w:eastAsia="zh-CN"/>
    </w:rPr>
  </w:style>
  <w:style w:type="paragraph" w:styleId="Style16">
    <w:name w:val="Цитата"/>
    <w:basedOn w:val="Normal"/>
    <w:qFormat/>
    <w:pPr>
      <w:ind w:hanging="0" w:left="4253" w:right="1360"/>
    </w:pPr>
    <w:rPr>
      <w:sz w:val="26"/>
      <w:szCs w:val="20"/>
    </w:rPr>
  </w:style>
  <w:style w:type="paragraph" w:styleId="Style17">
    <w:name w:val="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rvps4">
    <w:name w:val="rvps4"/>
    <w:basedOn w:val="Normal"/>
    <w:qFormat/>
    <w:pPr>
      <w:spacing w:before="280" w:after="280"/>
    </w:pPr>
    <w:rPr>
      <w:sz w:val="24"/>
    </w:rPr>
  </w:style>
  <w:style w:type="paragraph" w:styleId="rvps1">
    <w:name w:val="rvps1"/>
    <w:basedOn w:val="Normal"/>
    <w:qFormat/>
    <w:pPr>
      <w:spacing w:before="280" w:after="280"/>
    </w:pPr>
    <w:rPr>
      <w:sz w:val="24"/>
    </w:rPr>
  </w:style>
  <w:style w:type="paragraph" w:styleId="rvps7">
    <w:name w:val="rvps7"/>
    <w:basedOn w:val="Normal"/>
    <w:qFormat/>
    <w:pPr>
      <w:spacing w:before="280" w:after="280"/>
    </w:pPr>
    <w:rPr>
      <w:sz w:val="24"/>
    </w:rPr>
  </w:style>
  <w:style w:type="paragraph" w:styleId="rvps12">
    <w:name w:val="rvps12"/>
    <w:basedOn w:val="Normal"/>
    <w:qFormat/>
    <w:pPr>
      <w:spacing w:before="280" w:after="280"/>
    </w:pPr>
    <w:rPr>
      <w:sz w:val="24"/>
    </w:rPr>
  </w:style>
  <w:style w:type="paragraph" w:styleId="rvps6">
    <w:name w:val="rvps6"/>
    <w:basedOn w:val="Normal"/>
    <w:qFormat/>
    <w:pPr>
      <w:spacing w:before="280" w:after="280"/>
    </w:pPr>
    <w:rPr>
      <w:sz w:val="24"/>
    </w:rPr>
  </w:style>
  <w:style w:type="paragraph" w:styleId="rvps2">
    <w:name w:val="rvps2"/>
    <w:basedOn w:val="Normal"/>
    <w:qFormat/>
    <w:pPr>
      <w:spacing w:before="280" w:after="280"/>
    </w:pPr>
    <w:rPr>
      <w:sz w:val="24"/>
    </w:rPr>
  </w:style>
  <w:style w:type="paragraph" w:styleId="rvps15">
    <w:name w:val="rvps15"/>
    <w:basedOn w:val="Normal"/>
    <w:qFormat/>
    <w:pPr>
      <w:spacing w:before="280" w:after="280"/>
    </w:pPr>
    <w:rPr>
      <w:sz w:val="24"/>
    </w:rPr>
  </w:style>
  <w:style w:type="paragraph" w:styleId="rvps8">
    <w:name w:val="rvps8"/>
    <w:basedOn w:val="Normal"/>
    <w:qFormat/>
    <w:pPr>
      <w:spacing w:before="280" w:after="280"/>
    </w:pPr>
    <w:rPr>
      <w:sz w:val="24"/>
    </w:rPr>
  </w:style>
  <w:style w:type="paragraph" w:styleId="rvps14">
    <w:name w:val="rvps14"/>
    <w:basedOn w:val="Normal"/>
    <w:qFormat/>
    <w:pPr>
      <w:spacing w:before="280" w:after="280"/>
    </w:pPr>
    <w:rPr>
      <w:sz w:val="24"/>
    </w:rPr>
  </w:style>
  <w:style w:type="paragraph" w:styleId="Style18">
    <w:name w:val="Абзац списка"/>
    <w:basedOn w:val="Normal"/>
    <w:qFormat/>
    <w:pPr>
      <w:spacing w:before="0" w:after="0"/>
      <w:ind w:hanging="0" w:left="720" w:right="0"/>
      <w:contextualSpacing/>
      <w:jc w:val="both"/>
    </w:pPr>
    <w:rPr>
      <w:rFonts w:ascii="Calibri" w:hAnsi="Calibri" w:cs="Calibri"/>
      <w:szCs w:val="28"/>
    </w:rPr>
  </w:style>
  <w:style w:type="paragraph" w:styleId="Style19">
    <w:name w:val="Обычный (веб)"/>
    <w:basedOn w:val="Normal"/>
    <w:qFormat/>
    <w:pPr>
      <w:spacing w:before="280" w:after="280"/>
    </w:pPr>
    <w:rPr>
      <w:rFonts w:ascii="Calibri" w:hAnsi="Calibri" w:cs="Calibri"/>
      <w:sz w:val="24"/>
    </w:rPr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4"/>
      <w:lang w:val="ru-RU"/>
    </w:rPr>
  </w:style>
  <w:style w:type="paragraph" w:styleId="1">
    <w:name w:val="Без интервала1"/>
    <w:qFormat/>
    <w:pPr>
      <w:widowControl/>
      <w:tabs>
        <w:tab w:val="left" w:pos="708" w:leader="none"/>
      </w:tabs>
      <w:suppressAutoHyphens w:val="true"/>
      <w:bidi w:val="0"/>
      <w:spacing w:lineRule="atLeast" w:line="100"/>
    </w:pPr>
    <w:rPr>
      <w:rFonts w:ascii="Calibri" w:hAnsi="Calibri" w:eastAsia="SimSun;宋体" w:cs="Arial"/>
      <w:color w:val="00000A"/>
      <w:kern w:val="2"/>
      <w:sz w:val="22"/>
      <w:szCs w:val="22"/>
      <w:lang w:val="ru-RU" w:bidi="ar-SA" w:eastAsia="zh-CN"/>
    </w:rPr>
  </w:style>
  <w:style w:type="paragraph" w:styleId="121">
    <w:name w:val="Табл12"/>
    <w:basedOn w:val="Normal"/>
    <w:qFormat/>
    <w:pPr>
      <w:shd w:fill="FFFFFF" w:val="clear"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textAlignment w:val="baseline"/>
    </w:pPr>
    <w:rPr>
      <w:rFonts w:ascii="Calibri" w:hAnsi="Calibri" w:cs="Calibri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2026-04-29T13:14:00Z</dcterms:created>
  <dc:creator>sobes</dc:creator>
  <dc:description/>
  <cp:keywords/>
  <dc:language>en-US</dc:language>
  <cp:lastModifiedBy>Сергійчук</cp:lastModifiedBy>
  <cp:lastPrinted>2021-09-06T09:28:00Z</cp:lastPrinted>
  <dcterms:modified xsi:type="dcterms:W3CDTF">2026-04-29T13:14:00Z</dcterms:modified>
  <cp:revision>2</cp:revision>
  <dc:subject/>
  <dc:title> </dc:title>
</cp:coreProperties>
</file>