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210" w:type="dxa"/>
        <w:jc w:val="left"/>
        <w:tblInd w:w="46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0"/>
      </w:tblGrid>
      <w:tr>
        <w:trPr/>
        <w:tc>
          <w:tcPr>
            <w:tcW w:w="5210" w:type="dxa"/>
            <w:tcBorders/>
          </w:tcPr>
          <w:p>
            <w:pPr>
              <w:pStyle w:val="Normal"/>
              <w:ind w:left="592" w:right="57"/>
              <w:rPr>
                <w:b/>
                <w:szCs w:val="28"/>
              </w:rPr>
            </w:pPr>
            <w:r>
              <w:rPr>
                <w:b/>
                <w:szCs w:val="28"/>
              </w:rPr>
              <w:t>ЗАТВЕРДЖЕНО</w:t>
            </w:r>
            <w:r>
              <w:rPr>
                <w:szCs w:val="28"/>
              </w:rPr>
              <w:t xml:space="preserve">                                                                            Наказом управління з питань ветеранської політики Рівненської                                                                    районної державної адміністрації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160" w:leader="none"/>
              </w:tabs>
              <w:autoSpaceDE w:val="false"/>
              <w:ind w:left="592" w:right="57"/>
              <w:rPr>
                <w:rFonts w:ascii="Bookman Old Style" w:hAnsi="Bookman Old Style" w:cs="Bookman Old Style"/>
                <w:bCs/>
                <w:szCs w:val="28"/>
              </w:rPr>
            </w:pPr>
            <w:r>
              <w:rPr>
                <w:bCs/>
                <w:szCs w:val="28"/>
              </w:rPr>
              <w:t>15 квітня 2026 року № 13</w:t>
            </w:r>
          </w:p>
          <w:p>
            <w:pPr>
              <w:pStyle w:val="Normal"/>
              <w:jc w:val="both"/>
              <w:rPr>
                <w:rFonts w:ascii="Bookman Old Style" w:hAnsi="Bookman Old Style" w:cs="Bookman Old Style"/>
                <w:b/>
                <w:bCs/>
                <w:sz w:val="24"/>
                <w:szCs w:val="28"/>
              </w:rPr>
            </w:pPr>
            <w:r>
              <w:rPr>
                <w:rFonts w:cs="Bookman Old Style" w:ascii="Bookman Old Style" w:hAnsi="Bookman Old Style"/>
                <w:b/>
                <w:bCs/>
                <w:sz w:val="24"/>
                <w:szCs w:val="28"/>
              </w:rPr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 xml:space="preserve">ТЕХНОЛОГІЧНА КАРТКА </w:t>
      </w:r>
    </w:p>
    <w:p>
      <w:pPr>
        <w:pStyle w:val="Normal"/>
        <w:tabs>
          <w:tab w:val="clear" w:pos="708"/>
          <w:tab w:val="left" w:pos="3969" w:leader="none"/>
        </w:tabs>
        <w:jc w:val="center"/>
        <w:rPr>
          <w:b/>
          <w:sz w:val="24"/>
        </w:rPr>
      </w:pPr>
      <w:r>
        <w:rPr>
          <w:b/>
          <w:sz w:val="24"/>
        </w:rPr>
        <w:t>адміністративної послуги</w:t>
      </w:r>
    </w:p>
    <w:p>
      <w:pPr>
        <w:pStyle w:val="Normal"/>
        <w:tabs>
          <w:tab w:val="clear" w:pos="708"/>
          <w:tab w:val="left" w:pos="3969" w:leader="none"/>
        </w:tabs>
        <w:jc w:val="center"/>
        <w:rPr>
          <w:b/>
          <w:sz w:val="24"/>
        </w:rPr>
      </w:pPr>
      <w:r>
        <w:rPr>
          <w:b/>
          <w:bCs/>
          <w:color w:val="0C0C0C"/>
          <w:position w:val="-1"/>
          <w:sz w:val="27"/>
          <w:szCs w:val="27"/>
        </w:rPr>
        <w:t>Встановлення статусу особи з інвалідністю внаслідок війни</w:t>
      </w:r>
    </w:p>
    <w:p>
      <w:pPr>
        <w:pStyle w:val="Normal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jc w:val="center"/>
        <w:rPr/>
      </w:pPr>
      <w:r>
        <w:rPr>
          <w:b/>
          <w:sz w:val="24"/>
        </w:rPr>
        <w:t xml:space="preserve">Управління з питань ветеранської політики </w:t>
      </w:r>
    </w:p>
    <w:p>
      <w:pPr>
        <w:pStyle w:val="Normal"/>
        <w:jc w:val="center"/>
        <w:rPr/>
      </w:pPr>
      <w:r>
        <w:rPr>
          <w:b/>
          <w:sz w:val="24"/>
          <w:u w:val="single"/>
        </w:rPr>
        <w:t>Рівненської районної державної адміністрації Рівненської області</w:t>
      </w:r>
    </w:p>
    <w:p>
      <w:pPr>
        <w:pStyle w:val="Normal"/>
        <w:jc w:val="center"/>
        <w:rPr/>
      </w:pPr>
      <w:r>
        <w:rPr/>
        <w:t>(найменування суб’єкта надання адміністративної послуги)</w:t>
      </w:r>
    </w:p>
    <w:tbl>
      <w:tblPr>
        <w:tblW w:w="10173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544"/>
        <w:gridCol w:w="3284"/>
        <w:gridCol w:w="685"/>
        <w:gridCol w:w="1950"/>
      </w:tblGrid>
      <w:tr>
        <w:trPr>
          <w:trHeight w:val="765" w:hRule="atLeast"/>
        </w:trPr>
        <w:tc>
          <w:tcPr>
            <w:tcW w:w="101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Інформація про центр надання адміністративних послуг </w:t>
            </w:r>
          </w:p>
        </w:tc>
      </w:tr>
      <w:tr>
        <w:trPr>
          <w:trHeight w:val="589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ind w:hanging="391" w:righ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 xml:space="preserve">№  № 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Відповідальна посадова</w:t>
            </w:r>
          </w:p>
          <w:p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особа і підрозділ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Дія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</w:tr>
      <w:tr>
        <w:trPr>
          <w:trHeight w:val="1237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</w:t>
            </w:r>
          </w:p>
          <w:p>
            <w:pPr>
              <w:pStyle w:val="1"/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1"/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1"/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ind w:left="72" w:right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uk-UA" w:eastAsia="ar-SA"/>
              </w:rPr>
              <w:t>Прийом і перевірка правильності заповнення заяви, правильності  та повноти пакету документів, реєстрація заяви, повідомлення заявника про орієнтовний термін виконання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Адміністратор ЦНАПу/ або уповноважена особа територіальної громади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pacing w:lineRule="auto" w:line="2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Під час безпосереднього прийому від суб’єкта звернення</w:t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72" w:right="0"/>
              <w:rPr>
                <w:sz w:val="24"/>
                <w:lang w:eastAsia="ar-SA"/>
              </w:rPr>
            </w:pPr>
            <w:r>
              <w:rPr>
                <w:color w:val="000000"/>
                <w:sz w:val="24"/>
              </w:rPr>
              <w:t>Передача повного пакету документів до Управління  з питань ветеранської політики Рівненської  районної державної адміністрації (далі – УВП)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</w:rPr>
              <w:t xml:space="preserve">Адміністратор ЦНАПу/ або уповноважена особа територіальної громади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 пізніше наступного дня з дня надходження повного пакету документів</w:t>
            </w:r>
          </w:p>
        </w:tc>
      </w:tr>
      <w:tr>
        <w:trPr>
          <w:trHeight w:val="861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before="0" w:after="0"/>
              <w:ind w:left="72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Перевірка повноти поданих документів та правильність їх оформлення, та, у разі потреби, повернення документів адміністратору (спеціалісту) </w:t>
            </w:r>
            <w:r>
              <w:rPr>
                <w:rFonts w:cs="Times New Roman" w:ascii="Times New Roman" w:hAnsi="Times New Roman"/>
              </w:rPr>
              <w:t xml:space="preserve">ЦНАПу або уповноваженій особі територіальної громади </w:t>
            </w:r>
            <w:r>
              <w:rPr>
                <w:rFonts w:cs="Times New Roman" w:ascii="Times New Roman" w:hAnsi="Times New Roman"/>
                <w:color w:val="000000"/>
              </w:rPr>
              <w:t xml:space="preserve">для доопрацювання 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</w:rPr>
              <w:t xml:space="preserve">Головний спеціаліст відділу з </w:t>
            </w:r>
            <w:r>
              <w:rPr>
                <w:bCs/>
                <w:color w:val="1D1D1B"/>
                <w:sz w:val="24"/>
              </w:rPr>
              <w:t>реалізації програм, взаємодії з органами влади та організаціями</w:t>
            </w:r>
            <w:r>
              <w:rPr>
                <w:b/>
                <w:bCs/>
                <w:color w:val="1D1D1B"/>
                <w:szCs w:val="28"/>
              </w:rPr>
              <w:t xml:space="preserve"> </w:t>
            </w:r>
            <w:r>
              <w:rPr>
                <w:sz w:val="24"/>
              </w:rPr>
              <w:t xml:space="preserve">управління </w:t>
            </w:r>
            <w:r>
              <w:rPr>
                <w:color w:val="000000"/>
                <w:sz w:val="24"/>
              </w:rPr>
              <w:t xml:space="preserve">з питань ветеранської політики Рівненської </w:t>
            </w:r>
            <w:r>
              <w:rPr>
                <w:sz w:val="24"/>
              </w:rPr>
              <w:t>райдержадміністрації</w:t>
            </w:r>
          </w:p>
          <w:p>
            <w:pPr>
              <w:pStyle w:val="Normal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В</w:t>
            </w:r>
          </w:p>
          <w:p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Впродовж трьох робочих днів</w:t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before="0" w:after="0"/>
              <w:ind w:left="72" w:right="0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cs="Times New Roman" w:ascii="Times New Roman" w:hAnsi="Times New Roman"/>
                <w:lang w:eastAsia="ar-SA"/>
              </w:rPr>
              <w:t>Формування  особової справи</w:t>
            </w:r>
          </w:p>
          <w:p>
            <w:pPr>
              <w:pStyle w:val="Style19"/>
              <w:spacing w:before="0" w:after="0"/>
              <w:ind w:left="72" w:right="0"/>
              <w:rPr>
                <w:rFonts w:ascii="Times New Roman" w:hAnsi="Times New Roman" w:cs="Times New Roman"/>
                <w:color w:val="000000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/>
              </w:rPr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Головний спеціаліст відділу з </w:t>
            </w:r>
            <w:r>
              <w:rPr>
                <w:bCs/>
                <w:color w:val="1D1D1B"/>
                <w:sz w:val="24"/>
              </w:rPr>
              <w:t>реалізації програм, взаємодії з органами влади та організаціями</w:t>
            </w:r>
            <w:r>
              <w:rPr>
                <w:b/>
                <w:bCs/>
                <w:color w:val="1D1D1B"/>
                <w:szCs w:val="28"/>
              </w:rPr>
              <w:t xml:space="preserve"> </w:t>
            </w:r>
            <w:r>
              <w:rPr>
                <w:sz w:val="24"/>
              </w:rPr>
              <w:t xml:space="preserve">управління </w:t>
            </w:r>
            <w:r>
              <w:rPr>
                <w:color w:val="000000"/>
                <w:sz w:val="24"/>
              </w:rPr>
              <w:t xml:space="preserve">з питань ветеранської політики Рівненської </w:t>
            </w:r>
            <w:r>
              <w:rPr>
                <w:sz w:val="24"/>
              </w:rPr>
              <w:t>райдержадміністрації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Впродовж наступного дня</w:t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before="0" w:after="0"/>
              <w:ind w:left="72" w:right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Передача особової справи 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</w:rPr>
              <w:t xml:space="preserve">Головний спеціаліст відділу з </w:t>
            </w:r>
            <w:r>
              <w:rPr>
                <w:bCs/>
                <w:color w:val="1D1D1B"/>
                <w:sz w:val="24"/>
              </w:rPr>
              <w:t>реалізації програм, взаємодії з органами влади та організаціями</w:t>
            </w:r>
            <w:r>
              <w:rPr>
                <w:b/>
                <w:bCs/>
                <w:color w:val="1D1D1B"/>
                <w:szCs w:val="28"/>
              </w:rPr>
              <w:t xml:space="preserve"> </w:t>
            </w:r>
            <w:r>
              <w:rPr>
                <w:sz w:val="24"/>
              </w:rPr>
              <w:t xml:space="preserve">управління </w:t>
            </w:r>
            <w:r>
              <w:rPr>
                <w:color w:val="000000"/>
                <w:sz w:val="24"/>
              </w:rPr>
              <w:t xml:space="preserve">з питань ветеранської політики Рівненської </w:t>
            </w:r>
            <w:r>
              <w:rPr>
                <w:sz w:val="24"/>
              </w:rPr>
              <w:t>райдержадміністрації</w:t>
            </w:r>
          </w:p>
          <w:p>
            <w:pPr>
              <w:pStyle w:val="Normal"/>
              <w:rPr>
                <w:sz w:val="24"/>
                <w:lang w:eastAsia="ar-SA"/>
              </w:rPr>
            </w:pPr>
            <w:r>
              <w:rPr>
                <w:sz w:val="24"/>
              </w:rPr>
              <w:t>на розгляд комісії «Комісія з розгляду питань, пов’язаних  із встановленням статусу ветеран війни та жертвам нацистських переслідувань  відповідно до законів України «Про статус ветеранів війни, гарантій їх соціального захисту», «Про жертв нацистських переслідувань»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Впродовж наступного дня</w:t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TML"/>
              <w:ind w:left="72" w:righ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Опрацювання заяв та перевірка повноти пакету документів і перадача на розгляд комісії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lang w:eastAsia="ar-SA"/>
              </w:rPr>
            </w:pPr>
            <w:r>
              <w:rPr>
                <w:sz w:val="24"/>
              </w:rPr>
              <w:t xml:space="preserve">Головний спеціаліст відділу з </w:t>
            </w:r>
            <w:r>
              <w:rPr>
                <w:bCs/>
                <w:color w:val="1D1D1B"/>
                <w:sz w:val="24"/>
              </w:rPr>
              <w:t>реалізації програм, взаємодії з органами влади та організаціями</w:t>
            </w:r>
            <w:r>
              <w:rPr>
                <w:b/>
                <w:bCs/>
                <w:color w:val="1D1D1B"/>
                <w:szCs w:val="28"/>
              </w:rPr>
              <w:t xml:space="preserve"> </w:t>
            </w:r>
            <w:r>
              <w:rPr>
                <w:sz w:val="24"/>
              </w:rPr>
              <w:t xml:space="preserve">управління </w:t>
            </w:r>
            <w:r>
              <w:rPr>
                <w:color w:val="000000"/>
                <w:sz w:val="24"/>
              </w:rPr>
              <w:t xml:space="preserve">з питань ветеранської політики Рівненської </w:t>
            </w:r>
            <w:r>
              <w:rPr>
                <w:sz w:val="24"/>
              </w:rPr>
              <w:t>райдержадміністрації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Впродовж 10 днів</w:t>
            </w:r>
          </w:p>
        </w:tc>
      </w:tr>
      <w:tr>
        <w:trPr>
          <w:trHeight w:val="1410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  <w:sz w:val="24"/>
                <w:lang w:val="ru-RU"/>
              </w:rPr>
              <w:t>Реєстрація рішення про встановлення статусу (або відмови)/ повідомлення про встановлення статусу (або відмови)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Головний спеціаліст відділу з </w:t>
            </w:r>
            <w:r>
              <w:rPr>
                <w:bCs/>
                <w:color w:val="1D1D1B"/>
                <w:sz w:val="24"/>
              </w:rPr>
              <w:t>реалізації програм, взаємодії з органами влади та організаціями</w:t>
            </w:r>
            <w:r>
              <w:rPr>
                <w:b/>
                <w:bCs/>
                <w:color w:val="1D1D1B"/>
                <w:szCs w:val="28"/>
              </w:rPr>
              <w:t xml:space="preserve"> </w:t>
            </w:r>
            <w:r>
              <w:rPr>
                <w:sz w:val="24"/>
              </w:rPr>
              <w:t xml:space="preserve">управління </w:t>
            </w:r>
            <w:r>
              <w:rPr>
                <w:color w:val="000000"/>
                <w:sz w:val="24"/>
              </w:rPr>
              <w:t xml:space="preserve">з питань ветеранської політики Рівненської </w:t>
            </w:r>
            <w:r>
              <w:rPr>
                <w:sz w:val="24"/>
              </w:rPr>
              <w:t>райдержадміністрації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Впродовж трьох робочих днів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  <w:sz w:val="24"/>
                <w:lang w:val="ru-RU"/>
              </w:rPr>
              <w:t>Затвердження рішення про встановлення статусу (або відмови)/ повідомлення про встановлення статусу (або відмови)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Начальник управління  та члени комісії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Впродовж трьох робочих днів</w:t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 xml:space="preserve">Передача </w:t>
            </w:r>
            <w:r>
              <w:rPr>
                <w:sz w:val="24"/>
                <w:lang w:val="ru-RU"/>
              </w:rPr>
              <w:t>до ЦНАПу</w:t>
            </w:r>
            <w:r>
              <w:rPr>
                <w:color w:val="C00000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/>
              <w:t xml:space="preserve"> </w:t>
            </w:r>
            <w:r>
              <w:rPr>
                <w:sz w:val="24"/>
              </w:rPr>
              <w:t xml:space="preserve">уповноваженій особі територіальної громади </w:t>
            </w:r>
            <w:r>
              <w:rPr>
                <w:color w:val="000000"/>
                <w:sz w:val="24"/>
                <w:lang w:val="ru-RU"/>
              </w:rPr>
              <w:t>інформації щодо встановлення статусу та повідомлення про відмову в статусі та видача посвідчення при встановлені статусу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Головний спеціаліст відділу з </w:t>
            </w:r>
            <w:r>
              <w:rPr>
                <w:bCs/>
                <w:color w:val="1D1D1B"/>
                <w:sz w:val="24"/>
              </w:rPr>
              <w:t>реалізації програм, взаємодії з органами влади та організаціями</w:t>
            </w:r>
            <w:r>
              <w:rPr>
                <w:b/>
                <w:bCs/>
                <w:color w:val="1D1D1B"/>
                <w:szCs w:val="28"/>
              </w:rPr>
              <w:t xml:space="preserve"> </w:t>
            </w:r>
            <w:r>
              <w:rPr>
                <w:sz w:val="24"/>
              </w:rPr>
              <w:t xml:space="preserve">управління </w:t>
            </w:r>
            <w:r>
              <w:rPr>
                <w:color w:val="000000"/>
                <w:sz w:val="24"/>
              </w:rPr>
              <w:t xml:space="preserve">з питань ветеранської політики Рівненської </w:t>
            </w:r>
            <w:r>
              <w:rPr>
                <w:sz w:val="24"/>
              </w:rPr>
              <w:t>райдержадміністрації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Впродовж наступного робочого дня</w:t>
            </w:r>
          </w:p>
        </w:tc>
      </w:tr>
      <w:tr>
        <w:trPr/>
        <w:tc>
          <w:tcPr>
            <w:tcW w:w="8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100"/>
              <w:ind w:right="450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Загальна кількість днів надання послуг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30</w:t>
            </w:r>
          </w:p>
        </w:tc>
      </w:tr>
      <w:tr>
        <w:trPr/>
        <w:tc>
          <w:tcPr>
            <w:tcW w:w="8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100"/>
              <w:ind w:right="450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Загальна кількість днів (передбачена законодавством)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  <w:szCs w:val="22"/>
        </w:rPr>
      </w:pPr>
      <w:r>
        <w:rPr>
          <w:b/>
          <w:sz w:val="24"/>
          <w:szCs w:val="22"/>
        </w:rPr>
      </w:r>
    </w:p>
    <w:p>
      <w:pPr>
        <w:pStyle w:val="Normal"/>
        <w:rPr>
          <w:szCs w:val="22"/>
        </w:rPr>
      </w:pPr>
      <w:r>
        <w:rPr>
          <w:szCs w:val="22"/>
        </w:rPr>
      </w:r>
    </w:p>
    <w:p>
      <w:pPr>
        <w:pStyle w:val="Normal"/>
        <w:rPr>
          <w:szCs w:val="22"/>
        </w:rPr>
      </w:pPr>
      <w:r>
        <w:rPr>
          <w:szCs w:val="22"/>
        </w:rPr>
      </w:r>
    </w:p>
    <w:p>
      <w:pPr>
        <w:pStyle w:val="Normal"/>
        <w:rPr>
          <w:szCs w:val="22"/>
        </w:rPr>
      </w:pPr>
      <w:r>
        <w:rPr>
          <w:szCs w:val="22"/>
        </w:rPr>
      </w:r>
    </w:p>
    <w:p>
      <w:pPr>
        <w:pStyle w:val="Normal"/>
        <w:rPr>
          <w:szCs w:val="22"/>
        </w:rPr>
      </w:pPr>
      <w:r>
        <w:rPr>
          <w:szCs w:val="22"/>
        </w:rPr>
      </w:r>
    </w:p>
    <w:p>
      <w:pPr>
        <w:pStyle w:val="Normal"/>
        <w:rPr>
          <w:szCs w:val="22"/>
        </w:rPr>
      </w:pPr>
      <w:r>
        <w:rPr>
          <w:szCs w:val="22"/>
        </w:rPr>
      </w:r>
    </w:p>
    <w:p>
      <w:pPr>
        <w:pStyle w:val="Normal"/>
        <w:rPr>
          <w:szCs w:val="22"/>
        </w:rPr>
      </w:pPr>
      <w:r>
        <w:rPr>
          <w:szCs w:val="22"/>
        </w:rPr>
      </w:r>
    </w:p>
    <w:p>
      <w:pPr>
        <w:pStyle w:val="Normal"/>
        <w:rPr>
          <w:b/>
          <w:sz w:val="24"/>
          <w:szCs w:val="22"/>
          <w:lang w:val="en-US"/>
        </w:rPr>
      </w:pPr>
      <w:r>
        <w:rPr>
          <w:b/>
          <w:sz w:val="24"/>
          <w:szCs w:val="22"/>
          <w:lang w:val="en-US"/>
        </w:rPr>
      </w:r>
    </w:p>
    <w:p>
      <w:pPr>
        <w:pStyle w:val="Normal"/>
        <w:rPr>
          <w:b/>
          <w:sz w:val="24"/>
          <w:lang w:val="en-US"/>
        </w:rPr>
      </w:pPr>
      <w:r>
        <w:rPr>
          <w:b/>
          <w:sz w:val="24"/>
          <w:lang w:val="en-US"/>
        </w:rPr>
      </w:r>
    </w:p>
    <w:p>
      <w:pPr>
        <w:pStyle w:val="Normal"/>
        <w:rPr>
          <w:b/>
          <w:sz w:val="24"/>
          <w:szCs w:val="22"/>
          <w:lang w:val="en-US"/>
        </w:rPr>
      </w:pPr>
      <w:r>
        <w:rPr>
          <w:b/>
          <w:sz w:val="24"/>
          <w:szCs w:val="22"/>
          <w:lang w:val="en-US"/>
        </w:rPr>
      </w:r>
    </w:p>
    <w:p>
      <w:pPr>
        <w:pStyle w:val="Normal"/>
        <w:rPr>
          <w:szCs w:val="22"/>
        </w:rPr>
      </w:pPr>
      <w:r>
        <w:rPr>
          <w:szCs w:val="22"/>
        </w:rPr>
      </w:r>
    </w:p>
    <w:p>
      <w:pPr>
        <w:pStyle w:val="Normal"/>
        <w:rPr>
          <w:szCs w:val="22"/>
        </w:rPr>
      </w:pPr>
      <w:r>
        <w:rPr>
          <w:szCs w:val="22"/>
        </w:rPr>
      </w:r>
    </w:p>
    <w:sectPr>
      <w:type w:val="nextPage"/>
      <w:pgSz w:w="11906" w:h="16838"/>
      <w:pgMar w:left="1701" w:right="567" w:gutter="0" w:header="0" w:top="719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Calibri">
    <w:charset w:val="cc"/>
    <w:family w:val="swiss"/>
    <w:pitch w:val="variable"/>
  </w:font>
  <w:font w:name="Liberation Sans">
    <w:altName w:val="Arial"/>
    <w:charset w:val="01"/>
    <w:family w:val="swiss"/>
    <w:pitch w:val="variable"/>
  </w:font>
  <w:font w:name="Verdana">
    <w:charset w:val="cc"/>
    <w:family w:val="swiss"/>
    <w:pitch w:val="variable"/>
  </w:font>
  <w:font w:name="Bookman Old Style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erif CN" w:cs="Noto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8"/>
      <w:szCs w:val="24"/>
      <w:lang w:val="uk-UA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4962" w:left="0" w:right="0"/>
      <w:outlineLvl w:val="0"/>
    </w:pPr>
    <w:rPr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  <w:szCs w:val="20"/>
      <w:lang w:val="en-US"/>
    </w:rPr>
  </w:style>
  <w:style w:type="character" w:styleId="WW8Num1z0">
    <w:name w:val="WW8Num1z0"/>
    <w:qFormat/>
    <w:rPr>
      <w:rFonts w:ascii="Symbol" w:hAnsi="Symbol" w:cs="Symbol"/>
      <w:sz w:val="20"/>
    </w:rPr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1z2">
    <w:name w:val="WW8Num1z2"/>
    <w:qFormat/>
    <w:rPr>
      <w:rFonts w:ascii="Wingdings" w:hAnsi="Wingdings" w:cs="Wingdings"/>
      <w:sz w:val="20"/>
    </w:rPr>
  </w:style>
  <w:style w:type="character" w:styleId="WW8Num2z0">
    <w:name w:val="WW8Num2z0"/>
    <w:qFormat/>
    <w:rPr>
      <w:rFonts w:ascii="Symbol" w:hAnsi="Symbol" w:cs="Symbol"/>
      <w:sz w:val="20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3z0">
    <w:name w:val="WW8Num3z0"/>
    <w:qFormat/>
    <w:rPr>
      <w:rFonts w:cs="Times New Roman"/>
      <w:sz w:val="24"/>
    </w:rPr>
  </w:style>
  <w:style w:type="character" w:styleId="WW8Num3z1">
    <w:name w:val="WW8Num3z1"/>
    <w:qFormat/>
    <w:rPr>
      <w:rFonts w:cs="Times New Roman"/>
    </w:rPr>
  </w:style>
  <w:style w:type="character" w:styleId="WW8Num4z0">
    <w:name w:val="WW8Num4z0"/>
    <w:qFormat/>
    <w:rPr>
      <w:rFonts w:cs="Times New Roman"/>
      <w:sz w:val="24"/>
    </w:rPr>
  </w:style>
  <w:style w:type="character" w:styleId="WW8Num4z1">
    <w:name w:val="WW8Num4z1"/>
    <w:qFormat/>
    <w:rPr>
      <w:rFonts w:cs="Times New Roman"/>
    </w:rPr>
  </w:style>
  <w:style w:type="character" w:styleId="Style12">
    <w:name w:val="Основной шрифт абзаца"/>
    <w:qFormat/>
    <w:rPr/>
  </w:style>
  <w:style w:type="character" w:styleId="Hyperlink">
    <w:name w:val="Hyperlink"/>
    <w:basedOn w:val="Style12"/>
    <w:rPr>
      <w:color w:val="0000FF"/>
      <w:u w:val="single"/>
    </w:rPr>
  </w:style>
  <w:style w:type="character" w:styleId="rvts0">
    <w:name w:val="rvts0"/>
    <w:basedOn w:val="Style12"/>
    <w:qFormat/>
    <w:rPr/>
  </w:style>
  <w:style w:type="character" w:styleId="rvts15">
    <w:name w:val="rvts15"/>
    <w:basedOn w:val="Style12"/>
    <w:qFormat/>
    <w:rPr/>
  </w:style>
  <w:style w:type="character" w:styleId="rvts23">
    <w:name w:val="rvts23"/>
    <w:basedOn w:val="Style12"/>
    <w:qFormat/>
    <w:rPr/>
  </w:style>
  <w:style w:type="character" w:styleId="rvts9">
    <w:name w:val="rvts9"/>
    <w:basedOn w:val="Style12"/>
    <w:qFormat/>
    <w:rPr/>
  </w:style>
  <w:style w:type="character" w:styleId="Emphasis">
    <w:name w:val="Emphasis"/>
    <w:basedOn w:val="Style12"/>
    <w:qFormat/>
    <w:rPr>
      <w:i/>
      <w:iCs/>
    </w:rPr>
  </w:style>
  <w:style w:type="character" w:styleId="rvts48">
    <w:name w:val="rvts48"/>
    <w:basedOn w:val="Style12"/>
    <w:qFormat/>
    <w:rPr/>
  </w:style>
  <w:style w:type="character" w:styleId="FollowedHyperlink">
    <w:name w:val="FollowedHyperlink"/>
    <w:basedOn w:val="Style12"/>
    <w:rPr>
      <w:color w:val="800080"/>
      <w:u w:val="single"/>
    </w:rPr>
  </w:style>
  <w:style w:type="character" w:styleId="rvts52">
    <w:name w:val="rvts52"/>
    <w:basedOn w:val="Style12"/>
    <w:qFormat/>
    <w:rPr/>
  </w:style>
  <w:style w:type="character" w:styleId="rvts44">
    <w:name w:val="rvts44"/>
    <w:basedOn w:val="Style12"/>
    <w:qFormat/>
    <w:rPr/>
  </w:style>
  <w:style w:type="character" w:styleId="Style13">
    <w:name w:val="Знак Знак"/>
    <w:basedOn w:val="Style12"/>
    <w:qFormat/>
    <w:rPr>
      <w:rFonts w:ascii="Courier New" w:hAnsi="Courier New" w:cs="Courier New"/>
      <w:sz w:val="24"/>
      <w:szCs w:val="24"/>
      <w:lang w:val="ru-RU"/>
    </w:rPr>
  </w:style>
  <w:style w:type="character" w:styleId="Style14">
    <w:name w:val=" Знак Знак"/>
    <w:basedOn w:val="Style12"/>
    <w:qFormat/>
    <w:rPr>
      <w:rFonts w:ascii="Calibri" w:hAnsi="Calibri" w:cs="Calibri"/>
      <w:sz w:val="22"/>
      <w:szCs w:val="22"/>
      <w:lang w:val="ru-RU"/>
    </w:rPr>
  </w:style>
  <w:style w:type="character" w:styleId="12">
    <w:name w:val="Табл12 Знак"/>
    <w:basedOn w:val="Style12"/>
    <w:qFormat/>
    <w:rPr>
      <w:rFonts w:ascii="Calibri" w:hAnsi="Calibri" w:cs="Calibri"/>
      <w:sz w:val="24"/>
      <w:szCs w:val="24"/>
      <w:shd w:fill="FFFFFF" w:val="clear"/>
    </w:rPr>
  </w:style>
  <w:style w:type="character" w:styleId="Strong">
    <w:name w:val="Strong"/>
    <w:basedOn w:val="Style12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20"/>
    </w:pPr>
    <w:rPr>
      <w:rFonts w:ascii="Calibri" w:hAnsi="Calibri" w:cs="Calibri"/>
      <w:sz w:val="22"/>
      <w:szCs w:val="22"/>
      <w:lang w:val="ru-RU"/>
    </w:rPr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Style15">
    <w:name w:val="Îáû÷íûé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bidi="ar-SA" w:val="en-US" w:eastAsia="zh-CN"/>
    </w:rPr>
  </w:style>
  <w:style w:type="paragraph" w:styleId="Style16">
    <w:name w:val="Цитата"/>
    <w:basedOn w:val="Normal"/>
    <w:qFormat/>
    <w:pPr>
      <w:ind w:hanging="0" w:left="4253" w:right="1360"/>
    </w:pPr>
    <w:rPr>
      <w:sz w:val="26"/>
      <w:szCs w:val="20"/>
    </w:rPr>
  </w:style>
  <w:style w:type="paragraph" w:styleId="Style17">
    <w:name w:val="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rvps4">
    <w:name w:val="rvps4"/>
    <w:basedOn w:val="Normal"/>
    <w:qFormat/>
    <w:pPr>
      <w:spacing w:before="280" w:after="280"/>
    </w:pPr>
    <w:rPr>
      <w:sz w:val="24"/>
    </w:rPr>
  </w:style>
  <w:style w:type="paragraph" w:styleId="rvps1">
    <w:name w:val="rvps1"/>
    <w:basedOn w:val="Normal"/>
    <w:qFormat/>
    <w:pPr>
      <w:spacing w:before="280" w:after="280"/>
    </w:pPr>
    <w:rPr>
      <w:sz w:val="24"/>
    </w:rPr>
  </w:style>
  <w:style w:type="paragraph" w:styleId="rvps7">
    <w:name w:val="rvps7"/>
    <w:basedOn w:val="Normal"/>
    <w:qFormat/>
    <w:pPr>
      <w:spacing w:before="280" w:after="280"/>
    </w:pPr>
    <w:rPr>
      <w:sz w:val="24"/>
    </w:rPr>
  </w:style>
  <w:style w:type="paragraph" w:styleId="rvps12">
    <w:name w:val="rvps12"/>
    <w:basedOn w:val="Normal"/>
    <w:qFormat/>
    <w:pPr>
      <w:spacing w:before="280" w:after="280"/>
    </w:pPr>
    <w:rPr>
      <w:sz w:val="24"/>
    </w:rPr>
  </w:style>
  <w:style w:type="paragraph" w:styleId="rvps6">
    <w:name w:val="rvps6"/>
    <w:basedOn w:val="Normal"/>
    <w:qFormat/>
    <w:pPr>
      <w:spacing w:before="280" w:after="280"/>
    </w:pPr>
    <w:rPr>
      <w:sz w:val="24"/>
    </w:rPr>
  </w:style>
  <w:style w:type="paragraph" w:styleId="rvps2">
    <w:name w:val="rvps2"/>
    <w:basedOn w:val="Normal"/>
    <w:qFormat/>
    <w:pPr>
      <w:spacing w:before="280" w:after="280"/>
    </w:pPr>
    <w:rPr>
      <w:sz w:val="24"/>
    </w:rPr>
  </w:style>
  <w:style w:type="paragraph" w:styleId="rvps15">
    <w:name w:val="rvps15"/>
    <w:basedOn w:val="Normal"/>
    <w:qFormat/>
    <w:pPr>
      <w:spacing w:before="280" w:after="280"/>
    </w:pPr>
    <w:rPr>
      <w:sz w:val="24"/>
    </w:rPr>
  </w:style>
  <w:style w:type="paragraph" w:styleId="rvps8">
    <w:name w:val="rvps8"/>
    <w:basedOn w:val="Normal"/>
    <w:qFormat/>
    <w:pPr>
      <w:spacing w:before="280" w:after="280"/>
    </w:pPr>
    <w:rPr>
      <w:sz w:val="24"/>
    </w:rPr>
  </w:style>
  <w:style w:type="paragraph" w:styleId="rvps14">
    <w:name w:val="rvps14"/>
    <w:basedOn w:val="Normal"/>
    <w:qFormat/>
    <w:pPr>
      <w:spacing w:before="280" w:after="280"/>
    </w:pPr>
    <w:rPr>
      <w:sz w:val="24"/>
    </w:rPr>
  </w:style>
  <w:style w:type="paragraph" w:styleId="Style18">
    <w:name w:val="Абзац списка"/>
    <w:basedOn w:val="Normal"/>
    <w:qFormat/>
    <w:pPr>
      <w:spacing w:before="0" w:after="0"/>
      <w:ind w:hanging="0" w:left="720" w:right="0"/>
      <w:contextualSpacing/>
      <w:jc w:val="both"/>
    </w:pPr>
    <w:rPr>
      <w:rFonts w:ascii="Calibri" w:hAnsi="Calibri" w:cs="Calibri"/>
      <w:szCs w:val="28"/>
    </w:rPr>
  </w:style>
  <w:style w:type="paragraph" w:styleId="Style19">
    <w:name w:val="Обычный (веб)"/>
    <w:basedOn w:val="Normal"/>
    <w:qFormat/>
    <w:pPr>
      <w:spacing w:before="280" w:after="280"/>
    </w:pPr>
    <w:rPr>
      <w:rFonts w:ascii="Calibri" w:hAnsi="Calibri" w:cs="Calibri"/>
      <w:sz w:val="24"/>
    </w:rPr>
  </w:style>
  <w:style w:type="paragraph" w:styleId="HTML">
    <w:name w:val="Стандартный HTML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4"/>
      <w:lang w:val="ru-RU"/>
    </w:rPr>
  </w:style>
  <w:style w:type="paragraph" w:styleId="1">
    <w:name w:val="Без интервала1"/>
    <w:qFormat/>
    <w:pPr>
      <w:widowControl/>
      <w:tabs>
        <w:tab w:val="left" w:pos="708" w:leader="none"/>
      </w:tabs>
      <w:suppressAutoHyphens w:val="true"/>
      <w:bidi w:val="0"/>
      <w:spacing w:lineRule="atLeast" w:line="100"/>
    </w:pPr>
    <w:rPr>
      <w:rFonts w:ascii="Calibri" w:hAnsi="Calibri" w:eastAsia="SimSun;宋体" w:cs="Arial"/>
      <w:color w:val="00000A"/>
      <w:kern w:val="2"/>
      <w:sz w:val="22"/>
      <w:szCs w:val="22"/>
      <w:lang w:val="ru-RU" w:bidi="ar-SA" w:eastAsia="zh-CN"/>
    </w:rPr>
  </w:style>
  <w:style w:type="paragraph" w:styleId="121">
    <w:name w:val="Табл12"/>
    <w:basedOn w:val="Normal"/>
    <w:qFormat/>
    <w:pPr>
      <w:shd w:fill="FFFFFF" w:val="clear"/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textAlignment w:val="baseline"/>
    </w:pPr>
    <w:rPr>
      <w:rFonts w:ascii="Calibri" w:hAnsi="Calibri" w:cs="Calibri"/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2026-04-29T12:45:00Z</dcterms:created>
  <dc:creator>sobes</dc:creator>
  <dc:description/>
  <cp:keywords/>
  <dc:language>en-US</dc:language>
  <cp:lastModifiedBy>Сергійчук</cp:lastModifiedBy>
  <cp:lastPrinted>2021-09-06T09:28:00Z</cp:lastPrinted>
  <dcterms:modified xsi:type="dcterms:W3CDTF">2026-04-29T13:09:00Z</dcterms:modified>
  <cp:revision>4</cp:revision>
  <dc:subject/>
  <dc:title> </dc:title>
</cp:coreProperties>
</file>