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F0" w:rsidRDefault="00FE05F0" w:rsidP="00FE05F0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ЗАТВЕРДЖЕНО                                                      </w:t>
      </w:r>
    </w:p>
    <w:p w:rsidR="00FE05F0" w:rsidRDefault="00FE05F0" w:rsidP="00FE05F0">
      <w:pPr>
        <w:jc w:val="center"/>
      </w:pPr>
      <w:r>
        <w:t xml:space="preserve">                                                                                   Наказ управління соціального</w:t>
      </w:r>
    </w:p>
    <w:p w:rsidR="00FE05F0" w:rsidRDefault="00FE05F0" w:rsidP="00FE05F0">
      <w:pPr>
        <w:jc w:val="center"/>
      </w:pPr>
      <w:r>
        <w:t xml:space="preserve">                                                                                    захисту населення Рівненської</w:t>
      </w:r>
    </w:p>
    <w:p w:rsidR="00FE05F0" w:rsidRDefault="00FE05F0" w:rsidP="00FE05F0">
      <w:pPr>
        <w:jc w:val="center"/>
      </w:pPr>
      <w:r>
        <w:t xml:space="preserve">                                                                     райдержадміністрації</w:t>
      </w:r>
    </w:p>
    <w:p w:rsidR="001B7B08" w:rsidRDefault="00FE05F0" w:rsidP="00FE05F0">
      <w:r>
        <w:rPr>
          <w:bCs/>
        </w:rPr>
        <w:t xml:space="preserve">                                                                  </w:t>
      </w:r>
      <w:r w:rsidR="00ED2F87">
        <w:rPr>
          <w:bCs/>
        </w:rPr>
        <w:t xml:space="preserve">                              03  травня 2024 року №  11</w:t>
      </w:r>
    </w:p>
    <w:p w:rsidR="00FE05F0" w:rsidRDefault="00FE05F0"/>
    <w:p w:rsidR="00FE05F0" w:rsidRDefault="00FE05F0"/>
    <w:p w:rsidR="00FE05F0" w:rsidRDefault="00FE05F0"/>
    <w:p w:rsidR="00FE05F0" w:rsidRPr="00EB0BB3" w:rsidRDefault="00FE05F0" w:rsidP="00FE05F0">
      <w:pPr>
        <w:suppressAutoHyphens/>
        <w:jc w:val="center"/>
        <w:rPr>
          <w:b/>
          <w:spacing w:val="-8"/>
          <w:lang w:eastAsia="ar-SA"/>
        </w:rPr>
      </w:pPr>
      <w:r w:rsidRPr="00EB0BB3">
        <w:rPr>
          <w:b/>
          <w:spacing w:val="-8"/>
          <w:lang w:eastAsia="ar-SA"/>
        </w:rPr>
        <w:t>ТИПОВА ІНФОРМАЦІЙНА КАРТКА</w:t>
      </w:r>
    </w:p>
    <w:p w:rsidR="00FE05F0" w:rsidRPr="00EB0BB3" w:rsidRDefault="00FE05F0" w:rsidP="00FE05F0">
      <w:pPr>
        <w:suppressAutoHyphens/>
        <w:jc w:val="center"/>
        <w:rPr>
          <w:b/>
          <w:spacing w:val="-8"/>
          <w:lang w:eastAsia="ar-SA"/>
        </w:rPr>
      </w:pPr>
      <w:r w:rsidRPr="00EB0BB3">
        <w:rPr>
          <w:b/>
          <w:spacing w:val="-8"/>
          <w:lang w:eastAsia="ar-SA"/>
        </w:rPr>
        <w:t>адміністративної послуги</w:t>
      </w:r>
    </w:p>
    <w:p w:rsidR="00FE05F0" w:rsidRPr="00EB0BB3" w:rsidRDefault="00FE05F0" w:rsidP="00FE05F0">
      <w:pPr>
        <w:suppressAutoHyphens/>
        <w:ind w:right="-286"/>
        <w:contextualSpacing/>
        <w:jc w:val="center"/>
        <w:rPr>
          <w:b/>
          <w:spacing w:val="-8"/>
          <w:lang w:eastAsia="ar-SA"/>
        </w:rPr>
      </w:pPr>
      <w:r>
        <w:rPr>
          <w:b/>
          <w:spacing w:val="-8"/>
          <w:lang w:eastAsia="ar-SA"/>
        </w:rPr>
        <w:t>«</w:t>
      </w:r>
      <w:r w:rsidRPr="00EB0BB3">
        <w:rPr>
          <w:b/>
          <w:spacing w:val="-8"/>
          <w:lang w:eastAsia="ar-SA"/>
        </w:rPr>
        <w:t>ПРИЗНАЧЕННЯ ЩОМІСЯЧНОЇ ГРОШОВОЇ КОМПЕНСАЦІЇ НА ДІТЕЙ, ЯКІ НАВЧАЮТЬСЯ В ЗАКЛАДАХ ЗАГАЛЬНОЇ СЕРЕДНЬОЇ, ПРОФЕСІЙНОЇ (ПРОФЕСІЙНО-ТЕХНІЧНОЇ) ОСВІТИ, ЗАКЛАДАХ ФАХОВОЇ ПЕРЕДВИЩОЇ ОСВІТИ, РОЗТАШОВАНИХ НА ТЕРИТОРІЯХ РАДІОАКТИВНОГО ЗАБРУДНЕННЯ, А ТАКОЖ ДІТЕЙ З ІНВАЛІДНІСТЮ, ПОВ’ЯЗАНОЮ З НАСЛІДКАМИ ЧОРНОБИЛЬСЬКОЇ КАТАСТРОФИ, І ЯКІ НЕ ХАРЧУЮТЬСЯ В ЇДАЛЬНЯХ ЗАЗНАЧЕНИХ ЗАКЛАДІВ ОСВІТИ, А ТАКОЖ ЗА ВСІ ДНІ, КОЛИ ПЕРЕЛІЧЕНІ ОСОБИ НЕ ВІДВІДУВАЛИ ЦІ ЗАКЛАДИ</w:t>
      </w:r>
      <w:r>
        <w:rPr>
          <w:b/>
          <w:spacing w:val="-8"/>
          <w:lang w:eastAsia="ar-SA"/>
        </w:rPr>
        <w:t>, ДО ДОСЯГНЕННЯ НИМИ ПОВНОЛІТТЯ»</w:t>
      </w:r>
    </w:p>
    <w:p w:rsidR="00FE05F0" w:rsidRPr="0074472D" w:rsidRDefault="00FE05F0" w:rsidP="00FE05F0">
      <w:pPr>
        <w:jc w:val="center"/>
        <w:rPr>
          <w:b/>
        </w:rPr>
      </w:pPr>
      <w:r>
        <w:rPr>
          <w:b/>
        </w:rPr>
        <w:t xml:space="preserve">Управління соціального захисту населення </w:t>
      </w:r>
    </w:p>
    <w:p w:rsidR="00FE05F0" w:rsidRPr="00FD1E63" w:rsidRDefault="00FE05F0" w:rsidP="00FE05F0">
      <w:pPr>
        <w:jc w:val="center"/>
      </w:pPr>
      <w:r>
        <w:rPr>
          <w:b/>
          <w:u w:val="single"/>
        </w:rPr>
        <w:t>Рівненської районної державної адміністрації Рівненської області</w:t>
      </w:r>
    </w:p>
    <w:p w:rsidR="00FE05F0" w:rsidRPr="00EB0BB3" w:rsidRDefault="00FE05F0" w:rsidP="00FE05F0">
      <w:pPr>
        <w:suppressAutoHyphens/>
        <w:spacing w:after="120"/>
        <w:jc w:val="center"/>
        <w:rPr>
          <w:spacing w:val="-8"/>
          <w:sz w:val="20"/>
          <w:szCs w:val="20"/>
          <w:lang w:eastAsia="ar-SA"/>
        </w:rPr>
      </w:pPr>
      <w:r w:rsidRPr="00EB0BB3">
        <w:rPr>
          <w:spacing w:val="-8"/>
          <w:sz w:val="20"/>
          <w:szCs w:val="20"/>
          <w:lang w:eastAsia="ar-SA"/>
        </w:rPr>
        <w:t xml:space="preserve"> (найменування суб’єкта надання адміністративної послуги та / або центру надання адміністративних послуг)</w:t>
      </w:r>
    </w:p>
    <w:p w:rsidR="00FE05F0" w:rsidRPr="00EB0BB3" w:rsidRDefault="00FE05F0" w:rsidP="00FE05F0">
      <w:pPr>
        <w:suppressAutoHyphens/>
        <w:jc w:val="center"/>
        <w:rPr>
          <w:b/>
          <w:spacing w:val="-8"/>
          <w:sz w:val="12"/>
          <w:szCs w:val="12"/>
          <w:lang w:eastAsia="ar-S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054"/>
        <w:gridCol w:w="6521"/>
      </w:tblGrid>
      <w:tr w:rsidR="00FE05F0" w:rsidRPr="00EB0BB3" w:rsidTr="00FE05F0">
        <w:tc>
          <w:tcPr>
            <w:tcW w:w="10031" w:type="dxa"/>
            <w:gridSpan w:val="3"/>
          </w:tcPr>
          <w:p w:rsidR="00FE05F0" w:rsidRPr="00EB0BB3" w:rsidRDefault="00FE05F0" w:rsidP="00FE05F0">
            <w:pPr>
              <w:suppressAutoHyphens/>
              <w:jc w:val="center"/>
              <w:rPr>
                <w:b/>
                <w:spacing w:val="-8"/>
              </w:rPr>
            </w:pPr>
            <w:r w:rsidRPr="006C5820">
              <w:rPr>
                <w:b/>
              </w:rPr>
              <w:t>Інформація про центр надання адміністративних послуг Корецької міської ради (далі – ЦНАП) через який надається адміністративна послуга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944B8F" w:rsidRDefault="00FE05F0" w:rsidP="00FE05F0">
            <w:pPr>
              <w:jc w:val="center"/>
            </w:pPr>
            <w:r w:rsidRPr="00944B8F">
              <w:t>1</w:t>
            </w:r>
          </w:p>
        </w:tc>
        <w:tc>
          <w:tcPr>
            <w:tcW w:w="3054" w:type="dxa"/>
          </w:tcPr>
          <w:p w:rsidR="00FE05F0" w:rsidRPr="00944B8F" w:rsidRDefault="00FE05F0" w:rsidP="00FE05F0">
            <w:r w:rsidRPr="00944B8F">
              <w:t xml:space="preserve">Місцезнаходження </w:t>
            </w:r>
          </w:p>
        </w:tc>
        <w:tc>
          <w:tcPr>
            <w:tcW w:w="6521" w:type="dxa"/>
          </w:tcPr>
          <w:p w:rsidR="00FE05F0" w:rsidRPr="00FC71BD" w:rsidRDefault="00FE05F0" w:rsidP="00FE05F0">
            <w:r w:rsidRPr="00FC71BD">
              <w:t>Центр надання адміністративних послуг Корецької міської ради (далі – ЦНАП)</w:t>
            </w:r>
          </w:p>
          <w:p w:rsidR="00FE05F0" w:rsidRPr="00FC71BD" w:rsidRDefault="00FE05F0" w:rsidP="00FE05F0">
            <w:pPr>
              <w:rPr>
                <w:i/>
              </w:rPr>
            </w:pPr>
            <w:r w:rsidRPr="00FC71BD">
              <w:t xml:space="preserve">34700, площа Київська, </w:t>
            </w:r>
            <w:smartTag w:uri="urn:schemas-microsoft-com:office:smarttags" w:element="metricconverter">
              <w:smartTagPr>
                <w:attr w:name="ProductID" w:val="5, м"/>
              </w:smartTagPr>
              <w:r w:rsidRPr="00FC71BD">
                <w:t>5, м</w:t>
              </w:r>
            </w:smartTag>
            <w:r w:rsidRPr="00FC71BD">
              <w:t>. Корець, Рівненська область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944B8F" w:rsidRDefault="00FE05F0" w:rsidP="00FE05F0">
            <w:pPr>
              <w:jc w:val="center"/>
            </w:pPr>
            <w:r w:rsidRPr="00944B8F">
              <w:t>2</w:t>
            </w:r>
          </w:p>
        </w:tc>
        <w:tc>
          <w:tcPr>
            <w:tcW w:w="3054" w:type="dxa"/>
          </w:tcPr>
          <w:p w:rsidR="00FE05F0" w:rsidRPr="00944B8F" w:rsidRDefault="00FE05F0" w:rsidP="00FE05F0">
            <w:r w:rsidRPr="00944B8F">
              <w:t xml:space="preserve">Інформація щодо режиму роботи </w:t>
            </w:r>
          </w:p>
        </w:tc>
        <w:tc>
          <w:tcPr>
            <w:tcW w:w="6521" w:type="dxa"/>
          </w:tcPr>
          <w:p w:rsidR="00FE05F0" w:rsidRPr="00FC71BD" w:rsidRDefault="00FE05F0" w:rsidP="00FE05F0">
            <w:pPr>
              <w:shd w:val="clear" w:color="auto" w:fill="FFFFFF"/>
            </w:pPr>
            <w:r w:rsidRPr="00FC71BD">
              <w:t xml:space="preserve">Понеділок – середа – 08.00 – 17.00, </w:t>
            </w:r>
          </w:p>
          <w:p w:rsidR="00FE05F0" w:rsidRPr="00FC71BD" w:rsidRDefault="00FE05F0" w:rsidP="00FE05F0">
            <w:pPr>
              <w:shd w:val="clear" w:color="auto" w:fill="FFFFFF"/>
            </w:pPr>
            <w:r w:rsidRPr="00FC71BD">
              <w:t>четвер – 11.00 – 20.00, п’ятниця - субота 08.00 – 17.00,</w:t>
            </w:r>
          </w:p>
          <w:p w:rsidR="00FE05F0" w:rsidRPr="00FC71BD" w:rsidRDefault="00FE05F0" w:rsidP="00FE05F0">
            <w:pPr>
              <w:shd w:val="clear" w:color="auto" w:fill="FFFFFF"/>
            </w:pPr>
            <w:r w:rsidRPr="00FC71BD">
              <w:t xml:space="preserve">без перерви на обід. </w:t>
            </w:r>
          </w:p>
          <w:p w:rsidR="00FE05F0" w:rsidRPr="00FC71BD" w:rsidRDefault="00FE05F0" w:rsidP="00FE05F0">
            <w:pPr>
              <w:rPr>
                <w:i/>
              </w:rPr>
            </w:pPr>
            <w:r w:rsidRPr="00FC71BD">
              <w:t>Неділя – вихідний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944B8F" w:rsidRDefault="00FE05F0" w:rsidP="00FE05F0">
            <w:pPr>
              <w:jc w:val="center"/>
            </w:pPr>
            <w:r w:rsidRPr="00944B8F">
              <w:t>3</w:t>
            </w:r>
          </w:p>
        </w:tc>
        <w:tc>
          <w:tcPr>
            <w:tcW w:w="3054" w:type="dxa"/>
          </w:tcPr>
          <w:p w:rsidR="00FE05F0" w:rsidRPr="00944B8F" w:rsidRDefault="00FE05F0" w:rsidP="00FE05F0">
            <w:r w:rsidRPr="00944B8F">
              <w:t xml:space="preserve">Телефон / факс, електронна  адреса, офіційний веб-сайт </w:t>
            </w:r>
          </w:p>
        </w:tc>
        <w:tc>
          <w:tcPr>
            <w:tcW w:w="6521" w:type="dxa"/>
          </w:tcPr>
          <w:p w:rsidR="00FE05F0" w:rsidRPr="00FC71BD" w:rsidRDefault="00FE05F0" w:rsidP="00FE05F0">
            <w:pPr>
              <w:shd w:val="clear" w:color="auto" w:fill="FFFFFF"/>
            </w:pPr>
            <w:proofErr w:type="spellStart"/>
            <w:r w:rsidRPr="00FC71BD">
              <w:t>тел</w:t>
            </w:r>
            <w:proofErr w:type="spellEnd"/>
            <w:r w:rsidRPr="00FC71BD">
              <w:t xml:space="preserve">. (068) 5911011, </w:t>
            </w:r>
          </w:p>
          <w:p w:rsidR="00FE05F0" w:rsidRPr="00FC71BD" w:rsidRDefault="00FE05F0" w:rsidP="00FE05F0">
            <w:pPr>
              <w:shd w:val="clear" w:color="auto" w:fill="FFFFFF"/>
              <w:rPr>
                <w:lang w:val="en-US"/>
              </w:rPr>
            </w:pPr>
            <w:r w:rsidRPr="00FC71BD">
              <w:t>e-</w:t>
            </w:r>
            <w:proofErr w:type="spellStart"/>
            <w:r w:rsidRPr="00FC71BD">
              <w:t>mail</w:t>
            </w:r>
            <w:proofErr w:type="spellEnd"/>
            <w:r w:rsidRPr="00FC71BD">
              <w:t xml:space="preserve">: </w:t>
            </w:r>
            <w:r w:rsidRPr="00FC71BD">
              <w:rPr>
                <w:lang w:val="en-US"/>
              </w:rPr>
              <w:t>korec-cnap@ukr.net</w:t>
            </w:r>
          </w:p>
          <w:p w:rsidR="00FE05F0" w:rsidRPr="00FC71BD" w:rsidRDefault="00E76928" w:rsidP="00FE05F0">
            <w:pPr>
              <w:rPr>
                <w:i/>
              </w:rPr>
            </w:pPr>
            <w:hyperlink r:id="rId4" w:history="1">
              <w:r w:rsidR="00FE05F0" w:rsidRPr="00FC71BD">
                <w:t>http://korec.miskrada.org.ua</w:t>
              </w:r>
            </w:hyperlink>
          </w:p>
        </w:tc>
      </w:tr>
      <w:tr w:rsidR="00FE05F0" w:rsidRPr="00EB0BB3" w:rsidTr="00FE05F0">
        <w:tc>
          <w:tcPr>
            <w:tcW w:w="10031" w:type="dxa"/>
            <w:gridSpan w:val="3"/>
          </w:tcPr>
          <w:p w:rsidR="00FE05F0" w:rsidRPr="00EB0BB3" w:rsidRDefault="00FE05F0" w:rsidP="00FE05F0">
            <w:pPr>
              <w:suppressAutoHyphens/>
              <w:jc w:val="center"/>
              <w:rPr>
                <w:b/>
                <w:spacing w:val="-8"/>
                <w:sz w:val="26"/>
                <w:szCs w:val="26"/>
                <w:lang w:eastAsia="ar-SA"/>
              </w:rPr>
            </w:pPr>
            <w:r w:rsidRPr="00EB0BB3">
              <w:rPr>
                <w:b/>
                <w:spacing w:val="-8"/>
              </w:rPr>
              <w:t>Нормативні акти, якими регламентується надання адміністративної послуги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4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Закони України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Закон України „Про статус і соціальний захист громадян, які постраждали внаслідок Чорнобильської катастрофи” від 2</w:t>
            </w:r>
            <w:r>
              <w:rPr>
                <w:spacing w:val="-8"/>
                <w:lang w:eastAsia="ar-SA"/>
              </w:rPr>
              <w:t xml:space="preserve">8.02.1991 № 796-XII 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5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Акти Кабінету Міністрів України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suppressAutoHyphens/>
              <w:jc w:val="both"/>
              <w:rPr>
                <w:color w:val="ED7D31"/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Постанови Кабінету Міністрів України від 20.09.2005 </w:t>
            </w:r>
            <w:r w:rsidRPr="00EB0BB3">
              <w:rPr>
                <w:spacing w:val="-8"/>
                <w:lang w:eastAsia="ar-SA"/>
              </w:rPr>
              <w:br/>
              <w:t>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 (зі змінами); від 08.02.1997 № 155 „Про порядок та розміри компенсаційних виплат дітям, які потерпіли внаслідок Чорнобильської катастрофи” (зі змінами)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6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Акти центральних органів виконавчої влади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Наказ Міністерства соціальної політики України від 09.01.2023  № 3 ,,Про затвердження форми Заяви про призначення усіх видів соціальної допомоги та компенсацій”, зареєстрований </w:t>
            </w:r>
            <w:r>
              <w:rPr>
                <w:spacing w:val="-8"/>
                <w:lang w:eastAsia="ar-SA"/>
              </w:rPr>
              <w:t>у</w:t>
            </w:r>
            <w:r w:rsidRPr="00EB0BB3">
              <w:rPr>
                <w:spacing w:val="-8"/>
                <w:lang w:eastAsia="ar-SA"/>
              </w:rPr>
              <w:t xml:space="preserve"> Міністерстві юстиції України 23.01.2023 за № 145/39201 </w:t>
            </w:r>
          </w:p>
        </w:tc>
      </w:tr>
      <w:tr w:rsidR="00FE05F0" w:rsidRPr="00EB0BB3" w:rsidTr="00FE05F0">
        <w:tc>
          <w:tcPr>
            <w:tcW w:w="10031" w:type="dxa"/>
            <w:gridSpan w:val="3"/>
          </w:tcPr>
          <w:p w:rsidR="00FE05F0" w:rsidRPr="00EB0BB3" w:rsidRDefault="00FE05F0" w:rsidP="00FE05F0">
            <w:pPr>
              <w:suppressAutoHyphens/>
              <w:jc w:val="center"/>
              <w:rPr>
                <w:b/>
                <w:spacing w:val="-8"/>
                <w:lang w:eastAsia="ar-SA"/>
              </w:rPr>
            </w:pPr>
            <w:r w:rsidRPr="00EB0BB3">
              <w:rPr>
                <w:b/>
                <w:spacing w:val="-8"/>
                <w:lang w:eastAsia="ar-SA"/>
              </w:rPr>
              <w:t>Умови отримання адміністративної послуги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t>7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 xml:space="preserve">Підстава для отримання 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Діти, які навчаються в закладах загальної середньої, професійної (професійно-технічної) освіти, закладах фахової </w:t>
            </w:r>
            <w:proofErr w:type="spellStart"/>
            <w:r w:rsidRPr="00EB0BB3">
              <w:rPr>
                <w:spacing w:val="-8"/>
                <w:lang w:eastAsia="ar-SA"/>
              </w:rPr>
              <w:t>передвищої</w:t>
            </w:r>
            <w:proofErr w:type="spellEnd"/>
            <w:r w:rsidRPr="00EB0BB3">
              <w:rPr>
                <w:spacing w:val="-8"/>
                <w:lang w:eastAsia="ar-SA"/>
              </w:rPr>
              <w:t xml:space="preserve"> освіти, розташованих на територіях радіоактивного забруднення, а також діти з інвалідністю, пов’язаною з наслідками </w:t>
            </w:r>
            <w:r w:rsidRPr="00EB0BB3">
              <w:rPr>
                <w:spacing w:val="-8"/>
                <w:lang w:eastAsia="ar-SA"/>
              </w:rPr>
              <w:lastRenderedPageBreak/>
              <w:t>Чорнобильської катастрофи, не харчуються в їдальнях зазначених закладів освіти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lastRenderedPageBreak/>
              <w:t>8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  <w:lang w:eastAsia="ru-RU"/>
              </w:rPr>
              <w:t>Перелік необхідних документів</w:t>
            </w:r>
          </w:p>
        </w:tc>
        <w:tc>
          <w:tcPr>
            <w:tcW w:w="6521" w:type="dxa"/>
          </w:tcPr>
          <w:p w:rsidR="00FE05F0" w:rsidRPr="00EB0BB3" w:rsidRDefault="00DB73A8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 xml:space="preserve">  </w:t>
            </w:r>
            <w:r w:rsidR="00FE05F0">
              <w:rPr>
                <w:spacing w:val="-8"/>
                <w:lang w:eastAsia="ar-SA"/>
              </w:rPr>
              <w:t>З</w:t>
            </w:r>
            <w:r w:rsidR="00FE05F0" w:rsidRPr="00EB0BB3">
              <w:rPr>
                <w:spacing w:val="-8"/>
                <w:lang w:eastAsia="ar-SA"/>
              </w:rPr>
              <w:t xml:space="preserve">аява за формою, затвердженою наказом Міністерства соціальної політики України від 09.01.2023 № 3 ,,Про затвердження форми Заяви про призначення усіх видів соціальної допомоги та компенсацій”, зареєстрованим </w:t>
            </w:r>
            <w:r w:rsidR="00FE05F0">
              <w:rPr>
                <w:spacing w:val="-8"/>
                <w:lang w:eastAsia="ar-SA"/>
              </w:rPr>
              <w:t>у</w:t>
            </w:r>
            <w:r w:rsidR="00FE05F0" w:rsidRPr="00EB0BB3">
              <w:rPr>
                <w:spacing w:val="-8"/>
                <w:lang w:eastAsia="ar-SA"/>
              </w:rPr>
              <w:t xml:space="preserve"> Міністерстві юстиції України 23.01.2023 за № 145/39201;</w:t>
            </w:r>
          </w:p>
          <w:p w:rsidR="00FE05F0" w:rsidRPr="00EB0BB3" w:rsidRDefault="00DB73A8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 xml:space="preserve">   </w:t>
            </w:r>
            <w:r w:rsidR="00FE05F0" w:rsidRPr="00EB0BB3">
              <w:rPr>
                <w:spacing w:val="-8"/>
                <w:lang w:eastAsia="ar-SA"/>
              </w:rPr>
              <w:t>паспорт громадянина України, або інший документ, що посвідчує особу;</w:t>
            </w:r>
          </w:p>
          <w:p w:rsidR="00FE05F0" w:rsidRPr="00EB0BB3" w:rsidRDefault="00DB73A8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 xml:space="preserve">   </w:t>
            </w:r>
            <w:r w:rsidR="00FE05F0" w:rsidRPr="00EB0BB3">
              <w:rPr>
                <w:spacing w:val="-8"/>
                <w:lang w:eastAsia="ar-SA"/>
              </w:rPr>
              <w:t xml:space="preserve">довідка про </w:t>
            </w:r>
            <w:r w:rsidR="00FE05F0">
              <w:rPr>
                <w:spacing w:val="-8"/>
                <w:lang w:eastAsia="ar-SA"/>
              </w:rPr>
              <w:t>присвоєння реєстраційного номера</w:t>
            </w:r>
            <w:r w:rsidR="00FE05F0" w:rsidRPr="00EB0BB3">
              <w:rPr>
                <w:spacing w:val="-8"/>
                <w:lang w:eastAsia="ar-SA"/>
              </w:rPr>
              <w:t xml:space="preserve"> облікової картки платника податків (</w:t>
            </w:r>
            <w:r w:rsidR="00FE05F0">
              <w:rPr>
                <w:spacing w:val="-8"/>
                <w:lang w:eastAsia="ar-SA"/>
              </w:rPr>
              <w:t>не подається особами</w:t>
            </w:r>
            <w:r w:rsidR="00FE05F0" w:rsidRPr="00EB0BB3">
              <w:rPr>
                <w:spacing w:val="-8"/>
                <w:lang w:eastAsia="ar-SA"/>
              </w:rPr>
              <w:t>, які через свої релігійні переконання відмовляються від прийняття реєстраційного номера облікової картки платника податків т</w:t>
            </w:r>
            <w:r w:rsidR="00FE05F0">
              <w:rPr>
                <w:spacing w:val="-8"/>
                <w:lang w:eastAsia="ar-SA"/>
              </w:rPr>
              <w:t>а повідомили про це відповідний</w:t>
            </w:r>
            <w:r w:rsidR="00FE05F0" w:rsidRPr="00EB0BB3">
              <w:rPr>
                <w:spacing w:val="-8"/>
                <w:lang w:eastAsia="ar-SA"/>
              </w:rPr>
              <w:t xml:space="preserve"> контролююч</w:t>
            </w:r>
            <w:r w:rsidR="00FE05F0">
              <w:rPr>
                <w:spacing w:val="-8"/>
                <w:lang w:eastAsia="ar-SA"/>
              </w:rPr>
              <w:t xml:space="preserve">ий </w:t>
            </w:r>
            <w:r w:rsidR="00FE05F0" w:rsidRPr="00EB0BB3">
              <w:rPr>
                <w:spacing w:val="-8"/>
                <w:lang w:eastAsia="ar-SA"/>
              </w:rPr>
              <w:t>орган і мають відмітку в паспорті);</w:t>
            </w:r>
          </w:p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свідоцтво про народження дитини;</w:t>
            </w:r>
          </w:p>
          <w:p w:rsidR="00FE05F0" w:rsidRPr="00EB0BB3" w:rsidRDefault="00DB73A8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>
              <w:rPr>
                <w:spacing w:val="-8"/>
                <w:lang w:eastAsia="ar-SA"/>
              </w:rPr>
              <w:t xml:space="preserve">   </w:t>
            </w:r>
            <w:r w:rsidR="00FE05F0" w:rsidRPr="00EB0BB3">
              <w:rPr>
                <w:spacing w:val="-8"/>
                <w:lang w:eastAsia="ar-SA"/>
              </w:rPr>
              <w:t>рахунок з банку для соціальних виплат (за стандартом IBAN);</w:t>
            </w:r>
          </w:p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 xml:space="preserve">посвідчення дитини, яка потерпіла від Чорнобильської катастрофи / посвідчення дитини, яка потерпіла від Чорнобильської катастрофи, з вкладкою встановленого зразка (для дітей, яким </w:t>
            </w:r>
            <w:r>
              <w:rPr>
                <w:spacing w:val="-8"/>
                <w:lang w:eastAsia="ar-SA"/>
              </w:rPr>
              <w:t>у</w:t>
            </w:r>
            <w:r w:rsidRPr="00EB0BB3">
              <w:rPr>
                <w:spacing w:val="-8"/>
                <w:lang w:eastAsia="ar-SA"/>
              </w:rPr>
              <w:t>становлено причинний зв’язок інвалідності з Чорнобильською катастрофою);</w:t>
            </w:r>
          </w:p>
          <w:p w:rsidR="00FE05F0" w:rsidRPr="00EB0BB3" w:rsidRDefault="00DB73A8" w:rsidP="00FE05F0">
            <w:pPr>
              <w:suppressAutoHyphens/>
              <w:jc w:val="both"/>
              <w:rPr>
                <w:spacing w:val="-8"/>
                <w:highlight w:val="yellow"/>
                <w:lang w:eastAsia="ar-SA"/>
              </w:rPr>
            </w:pPr>
            <w:r>
              <w:rPr>
                <w:spacing w:val="-8"/>
                <w:lang w:eastAsia="ar-SA"/>
              </w:rPr>
              <w:t xml:space="preserve">   </w:t>
            </w:r>
            <w:r w:rsidR="00FE05F0" w:rsidRPr="00EB0BB3">
              <w:rPr>
                <w:spacing w:val="-8"/>
                <w:lang w:eastAsia="ar-SA"/>
              </w:rPr>
              <w:t>довідка, видана закладом</w:t>
            </w:r>
            <w:r w:rsidR="00FE05F0">
              <w:rPr>
                <w:spacing w:val="-8"/>
                <w:lang w:eastAsia="ar-SA"/>
              </w:rPr>
              <w:t xml:space="preserve"> освіти</w:t>
            </w:r>
            <w:r w:rsidR="00FE05F0" w:rsidRPr="00EB0BB3">
              <w:rPr>
                <w:spacing w:val="-8"/>
                <w:lang w:eastAsia="ar-SA"/>
              </w:rPr>
              <w:t xml:space="preserve">, про незабезпеченість дитини харчуванням </w:t>
            </w:r>
            <w:r w:rsidR="00FE05F0">
              <w:rPr>
                <w:spacing w:val="-8"/>
                <w:lang w:eastAsia="ar-SA"/>
              </w:rPr>
              <w:t>у</w:t>
            </w:r>
            <w:r w:rsidR="00FE05F0" w:rsidRPr="00EB0BB3">
              <w:rPr>
                <w:spacing w:val="-8"/>
                <w:lang w:eastAsia="ar-SA"/>
              </w:rPr>
              <w:t xml:space="preserve"> їдальні з вказівкою кількості днів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tabs>
                <w:tab w:val="center" w:pos="120"/>
              </w:tabs>
              <w:suppressAutoHyphens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val="ru-RU" w:eastAsia="ar-SA"/>
              </w:rPr>
              <w:tab/>
              <w:t>9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 xml:space="preserve">Спосіб подання документів </w:t>
            </w:r>
          </w:p>
        </w:tc>
        <w:tc>
          <w:tcPr>
            <w:tcW w:w="6521" w:type="dxa"/>
          </w:tcPr>
          <w:p w:rsidR="00FE05F0" w:rsidRPr="00EB0BB3" w:rsidRDefault="00DB73A8" w:rsidP="00FE05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FE05F0" w:rsidRPr="00EB0BB3">
              <w:rPr>
                <w:lang w:eastAsia="en-US"/>
              </w:rPr>
              <w:t>Заява та документи, необхідні для призначення щомісячної грошової компенсації, подаються особою суб’єкту надання адміністративної послуги:</w:t>
            </w:r>
          </w:p>
          <w:p w:rsidR="00FE05F0" w:rsidRPr="00EB0BB3" w:rsidRDefault="00DB73A8" w:rsidP="00FE05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FE05F0"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FE05F0" w:rsidRPr="00EB0BB3" w:rsidRDefault="00DB73A8" w:rsidP="00FE0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trike/>
                <w:spacing w:val="-8"/>
                <w:lang w:eastAsia="ar-SA"/>
              </w:rPr>
            </w:pPr>
            <w:r>
              <w:rPr>
                <w:lang w:eastAsia="en-US"/>
              </w:rPr>
              <w:t xml:space="preserve">   </w:t>
            </w:r>
            <w:r w:rsidR="00FE05F0" w:rsidRPr="00EB0BB3">
              <w:rPr>
                <w:lang w:eastAsia="en-US"/>
              </w:rPr>
              <w:t xml:space="preserve">поштою або в електронній формі через офіційний веб-сайт </w:t>
            </w:r>
            <w:proofErr w:type="spellStart"/>
            <w:r w:rsidR="00FE05F0" w:rsidRPr="00EB0BB3">
              <w:rPr>
                <w:lang w:eastAsia="en-US"/>
              </w:rPr>
              <w:t>Мінсоцполітики</w:t>
            </w:r>
            <w:proofErr w:type="spellEnd"/>
            <w:r w:rsidR="00FE05F0" w:rsidRPr="00EB0BB3">
              <w:rPr>
                <w:lang w:eastAsia="en-US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10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Платність (безоплатність) надання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suppressAutoHyphens/>
              <w:jc w:val="both"/>
              <w:rPr>
                <w:color w:val="ED7D31"/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Адміністративна послуга надається безоплатно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val="ru-RU" w:eastAsia="ar-SA"/>
              </w:rPr>
            </w:pPr>
            <w:r w:rsidRPr="00EB0BB3">
              <w:rPr>
                <w:spacing w:val="-8"/>
                <w:lang w:eastAsia="ar-SA"/>
              </w:rPr>
              <w:t>11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 xml:space="preserve">Строк надання 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highlight w:val="yellow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Призначення / відмова у призначенні щомісячної грошової компенсації здійснюється протягом 10 робочих днів з дати надходження заяви та необхідних документів до суб’єкта надання адміністративної послуги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12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Перелік підстав для відмови у наданні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>Подання неповного пакета</w:t>
            </w:r>
            <w:r w:rsidRPr="00EB0BB3">
              <w:rPr>
                <w:spacing w:val="-8"/>
              </w:rPr>
              <w:t xml:space="preserve"> документів</w:t>
            </w:r>
          </w:p>
        </w:tc>
      </w:tr>
      <w:tr w:rsidR="00FE05F0" w:rsidRPr="00EB0BB3" w:rsidTr="00FE05F0"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13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highlight w:val="yellow"/>
              </w:rPr>
            </w:pPr>
            <w:r w:rsidRPr="00EB0BB3">
              <w:rPr>
                <w:spacing w:val="-8"/>
              </w:rPr>
              <w:t>Результат надання адміністративної послуги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>Призначення щомісячної грошової компенсації / відмова у призначенні щомісячної грошової компенсації</w:t>
            </w:r>
          </w:p>
        </w:tc>
      </w:tr>
      <w:tr w:rsidR="00FE05F0" w:rsidRPr="00EB0BB3" w:rsidTr="00FE05F0">
        <w:trPr>
          <w:trHeight w:val="402"/>
        </w:trPr>
        <w:tc>
          <w:tcPr>
            <w:tcW w:w="456" w:type="dxa"/>
          </w:tcPr>
          <w:p w:rsidR="00FE05F0" w:rsidRPr="00EB0BB3" w:rsidRDefault="00FE05F0" w:rsidP="00FE05F0">
            <w:pPr>
              <w:suppressAutoHyphens/>
              <w:jc w:val="center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14</w:t>
            </w:r>
          </w:p>
        </w:tc>
        <w:tc>
          <w:tcPr>
            <w:tcW w:w="3054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</w:rPr>
            </w:pPr>
            <w:r w:rsidRPr="00EB0BB3">
              <w:rPr>
                <w:spacing w:val="-8"/>
              </w:rPr>
              <w:t>Способи отримання відповіді (результату)</w:t>
            </w:r>
          </w:p>
        </w:tc>
        <w:tc>
          <w:tcPr>
            <w:tcW w:w="6521" w:type="dxa"/>
          </w:tcPr>
          <w:p w:rsidR="00FE05F0" w:rsidRPr="00EB0BB3" w:rsidRDefault="00FE05F0" w:rsidP="00FE05F0">
            <w:pPr>
              <w:suppressAutoHyphens/>
              <w:jc w:val="both"/>
              <w:rPr>
                <w:spacing w:val="-8"/>
                <w:lang w:eastAsia="ar-SA"/>
              </w:rPr>
            </w:pPr>
            <w:r w:rsidRPr="00EB0BB3">
              <w:rPr>
                <w:spacing w:val="-8"/>
                <w:lang w:eastAsia="ar-SA"/>
              </w:rPr>
              <w:t>Зарахування щомісячної грошової компенсації на банківський рахунок у банку, в якому відкрито рахунок одержувача</w:t>
            </w:r>
          </w:p>
        </w:tc>
      </w:tr>
    </w:tbl>
    <w:p w:rsidR="00FE05F0" w:rsidRPr="00EB0BB3" w:rsidRDefault="00FE05F0" w:rsidP="00FE05F0">
      <w:pPr>
        <w:suppressAutoHyphens/>
        <w:jc w:val="both"/>
        <w:rPr>
          <w:color w:val="ED7D31"/>
          <w:spacing w:val="-8"/>
          <w:szCs w:val="28"/>
          <w:lang w:eastAsia="ar-SA"/>
        </w:rPr>
      </w:pPr>
    </w:p>
    <w:p w:rsidR="00FE05F0" w:rsidRDefault="00FE05F0" w:rsidP="00FE05F0">
      <w:pPr>
        <w:tabs>
          <w:tab w:val="left" w:pos="851"/>
          <w:tab w:val="left" w:pos="993"/>
        </w:tabs>
        <w:ind w:right="-284" w:firstLine="567"/>
        <w:jc w:val="both"/>
        <w:rPr>
          <w:i/>
          <w:lang w:eastAsia="ar-SA"/>
        </w:rPr>
      </w:pPr>
      <w:r w:rsidRPr="00EB0BB3">
        <w:rPr>
          <w:i/>
          <w:lang w:eastAsia="ar-SA"/>
        </w:rPr>
        <w:t>*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документи, необхідні для призначення щомісячної грошової компенсації,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значення, районної у місті (у разі утворення) ради.</w:t>
      </w:r>
    </w:p>
    <w:p w:rsidR="00FE05F0" w:rsidRDefault="00FE05F0"/>
    <w:sectPr w:rsidR="00FE05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F0"/>
    <w:rsid w:val="001B7B08"/>
    <w:rsid w:val="00631E24"/>
    <w:rsid w:val="008D2E0F"/>
    <w:rsid w:val="00BD3603"/>
    <w:rsid w:val="00CB36A6"/>
    <w:rsid w:val="00DB73A8"/>
    <w:rsid w:val="00E76928"/>
    <w:rsid w:val="00ED2F87"/>
    <w:rsid w:val="00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9571F-D0C7-42E5-BDE1-F291A488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F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rec.miskrada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3941</Words>
  <Characters>2247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RePack by SPecialiST</Company>
  <LinksUpToDate>false</LinksUpToDate>
  <CharactersWithSpaces>6176</CharactersWithSpaces>
  <SharedDoc>false</SharedDoc>
  <HLinks>
    <vt:vector size="6" baseType="variant"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http://korec.miskrada.org.ua/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Сергійчук</dc:creator>
  <cp:keywords/>
  <dc:description/>
  <cp:lastModifiedBy>orgvid3</cp:lastModifiedBy>
  <cp:revision>2</cp:revision>
  <dcterms:created xsi:type="dcterms:W3CDTF">2024-05-08T08:20:00Z</dcterms:created>
  <dcterms:modified xsi:type="dcterms:W3CDTF">2024-05-08T08:20:00Z</dcterms:modified>
</cp:coreProperties>
</file>