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1022"/>
        <w:gridCol w:w="920"/>
        <w:gridCol w:w="672"/>
        <w:gridCol w:w="672"/>
        <w:gridCol w:w="672"/>
        <w:gridCol w:w="2450"/>
        <w:gridCol w:w="2865"/>
        <w:gridCol w:w="1383"/>
        <w:gridCol w:w="1243"/>
        <w:gridCol w:w="616"/>
        <w:gridCol w:w="616"/>
        <w:gridCol w:w="618"/>
      </w:tblGrid>
      <w:tr w:rsidR="008564D4" w:rsidRPr="00E5331F" w:rsidTr="00E5331F">
        <w:trPr>
          <w:trHeight w:val="2630"/>
        </w:trPr>
        <w:tc>
          <w:tcPr>
            <w:tcW w:w="153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4D4" w:rsidRPr="00E5331F" w:rsidRDefault="008564D4" w:rsidP="008564D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3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до Програми</w:t>
            </w:r>
          </w:p>
          <w:p w:rsidR="00E5331F" w:rsidRDefault="00E5331F" w:rsidP="008564D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5331F" w:rsidRPr="00E5331F" w:rsidRDefault="008564D4" w:rsidP="0085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33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і заходи з виконання </w:t>
            </w:r>
            <w:r w:rsidR="00E5331F" w:rsidRPr="00E533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Районної цільової програми забезпечення всебічного розвитку і функціонування  української мови  </w:t>
            </w:r>
          </w:p>
          <w:p w:rsidR="008564D4" w:rsidRPr="008564D4" w:rsidRDefault="00E5331F" w:rsidP="0085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533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державної в сферах суспільного життя у Рівненському</w:t>
            </w:r>
            <w:bookmarkStart w:id="0" w:name="_GoBack"/>
            <w:bookmarkEnd w:id="0"/>
            <w:r w:rsidRPr="00E533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районі на 2024-2026 роки</w:t>
            </w:r>
          </w:p>
        </w:tc>
      </w:tr>
      <w:tr w:rsidR="008564D4" w:rsidRPr="008564D4" w:rsidTr="00E5331F"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</w:tcPr>
          <w:p w:rsidR="0045760E" w:rsidRPr="008564D4" w:rsidRDefault="0045760E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2936" w:type="dxa"/>
            <w:gridSpan w:val="4"/>
            <w:tcBorders>
              <w:top w:val="single" w:sz="4" w:space="0" w:color="auto"/>
            </w:tcBorders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показника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за роками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заходу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Орієнтовані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обсяги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видатків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тис.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У тому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за роками, тис.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гривень</w:t>
            </w:r>
            <w:proofErr w:type="spellEnd"/>
          </w:p>
        </w:tc>
      </w:tr>
      <w:tr w:rsidR="008564D4" w:rsidRPr="008564D4" w:rsidTr="008564D4">
        <w:tc>
          <w:tcPr>
            <w:tcW w:w="1555" w:type="dxa"/>
            <w:vMerge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45760E" w:rsidRPr="008564D4" w:rsidRDefault="0045760E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45760E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5331F">
              <w:rPr>
                <w:rFonts w:ascii="Times New Roman" w:hAnsi="Times New Roman" w:cs="Times New Roman"/>
                <w:sz w:val="20"/>
                <w:szCs w:val="20"/>
              </w:rPr>
              <w:t>сього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0198" w:rsidRPr="008564D4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672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0198" w:rsidRPr="00856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0198" w:rsidRPr="008564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0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16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18" w:type="dxa"/>
          </w:tcPr>
          <w:p w:rsidR="0045760E" w:rsidRPr="008564D4" w:rsidRDefault="004576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8564D4" w:rsidRPr="008564D4" w:rsidTr="008564D4">
        <w:tc>
          <w:tcPr>
            <w:tcW w:w="1555" w:type="dxa"/>
          </w:tcPr>
          <w:p w:rsidR="00C42919" w:rsidRPr="008564D4" w:rsidRDefault="009F01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Зміцнення державного статусу </w:t>
            </w:r>
            <w:proofErr w:type="spellStart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>вироблення</w:t>
            </w:r>
            <w:proofErr w:type="spellEnd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>дієвого</w:t>
            </w:r>
            <w:proofErr w:type="spellEnd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>механізму</w:t>
            </w:r>
            <w:proofErr w:type="spellEnd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proofErr w:type="spellEnd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CB6887" w:rsidRPr="008564D4">
              <w:rPr>
                <w:rFonts w:ascii="Times New Roman" w:hAnsi="Times New Roman" w:cs="Times New Roman"/>
                <w:sz w:val="20"/>
                <w:szCs w:val="20"/>
              </w:rPr>
              <w:t>популяризації</w:t>
            </w:r>
            <w:proofErr w:type="spellEnd"/>
          </w:p>
          <w:p w:rsidR="00CB6887" w:rsidRPr="008564D4" w:rsidRDefault="00CB6887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C42919" w:rsidRPr="008564D4" w:rsidRDefault="009F010E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розміщеної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920" w:type="dxa"/>
          </w:tcPr>
          <w:p w:rsidR="00C42919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2" w:type="dxa"/>
          </w:tcPr>
          <w:p w:rsidR="00C42919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2" w:type="dxa"/>
          </w:tcPr>
          <w:p w:rsidR="00C42919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2" w:type="dxa"/>
          </w:tcPr>
          <w:p w:rsidR="00C42919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50" w:type="dxa"/>
          </w:tcPr>
          <w:p w:rsidR="00C42919" w:rsidRPr="008564D4" w:rsidRDefault="009F01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1.Розміщення </w:t>
            </w:r>
          </w:p>
          <w:p w:rsidR="009F010E" w:rsidRPr="008564D4" w:rsidRDefault="009F010E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популяризації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україномовної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офіційних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вебсайтах та в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соціальних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мережах</w:t>
            </w:r>
          </w:p>
        </w:tc>
        <w:tc>
          <w:tcPr>
            <w:tcW w:w="2865" w:type="dxa"/>
          </w:tcPr>
          <w:p w:rsidR="00C42919" w:rsidRPr="008564D4" w:rsidRDefault="00A47D01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цифрового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розвитку,цифрової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трансформації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цифровізації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центрів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адміністративних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Рівненської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райдержадміністрації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="00C208D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спорту,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виконавчі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комітети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сільських,селищних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міських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рад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територіальних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громад,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інститути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громадянського</w:t>
            </w:r>
            <w:proofErr w:type="spellEnd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995" w:rsidRPr="008564D4">
              <w:rPr>
                <w:rFonts w:ascii="Times New Roman" w:hAnsi="Times New Roman" w:cs="Times New Roman"/>
                <w:sz w:val="20"/>
                <w:szCs w:val="20"/>
              </w:rPr>
              <w:t>суспільства</w:t>
            </w:r>
            <w:proofErr w:type="spellEnd"/>
          </w:p>
        </w:tc>
        <w:tc>
          <w:tcPr>
            <w:tcW w:w="1383" w:type="dxa"/>
          </w:tcPr>
          <w:p w:rsidR="00C42919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Місцеві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D16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243" w:type="dxa"/>
          </w:tcPr>
          <w:p w:rsidR="00C42919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616" w:type="dxa"/>
          </w:tcPr>
          <w:p w:rsidR="00C42919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616" w:type="dxa"/>
          </w:tcPr>
          <w:p w:rsidR="00C42919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618" w:type="dxa"/>
          </w:tcPr>
          <w:p w:rsidR="00C42919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D4" w:rsidRPr="008564D4" w:rsidTr="008564D4">
        <w:tc>
          <w:tcPr>
            <w:tcW w:w="1555" w:type="dxa"/>
          </w:tcPr>
          <w:p w:rsidR="00C42919" w:rsidRPr="008564D4" w:rsidRDefault="00C4291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C42919" w:rsidRPr="008564D4" w:rsidRDefault="00C208D5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</w:p>
        </w:tc>
        <w:tc>
          <w:tcPr>
            <w:tcW w:w="920" w:type="dxa"/>
          </w:tcPr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8/</w:t>
            </w:r>
          </w:p>
          <w:p w:rsidR="00C42919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672" w:type="dxa"/>
          </w:tcPr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72" w:type="dxa"/>
          </w:tcPr>
          <w:p w:rsidR="00C4291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72" w:type="dxa"/>
          </w:tcPr>
          <w:p w:rsidR="00C4291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450" w:type="dxa"/>
          </w:tcPr>
          <w:p w:rsidR="00C42919" w:rsidRPr="008564D4" w:rsidRDefault="00C208D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просвітницької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цільових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аудиторій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конституційної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спроможності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мовної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2865" w:type="dxa"/>
          </w:tcPr>
          <w:p w:rsidR="00C42919" w:rsidRPr="008564D4" w:rsidRDefault="00C4291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42919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Місцеві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995" w:rsidRPr="008564D4" w:rsidRDefault="001069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243" w:type="dxa"/>
          </w:tcPr>
          <w:p w:rsidR="00C42919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616" w:type="dxa"/>
          </w:tcPr>
          <w:p w:rsidR="00C42919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42919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</w:tcPr>
          <w:p w:rsidR="00C42919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54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D4" w:rsidRPr="008564D4" w:rsidTr="008564D4">
        <w:tc>
          <w:tcPr>
            <w:tcW w:w="1555" w:type="dxa"/>
          </w:tcPr>
          <w:p w:rsidR="00663E2D" w:rsidRPr="008564D4" w:rsidRDefault="00075DC2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дотримання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державну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мову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органів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самоврядування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іншими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посадовими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службовими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особами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закону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обов’язковості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proofErr w:type="gram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своіх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посадових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обов’язків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недопущення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3E2D" w:rsidRPr="008564D4">
              <w:rPr>
                <w:rFonts w:ascii="Times New Roman" w:hAnsi="Times New Roman" w:cs="Times New Roman"/>
                <w:sz w:val="20"/>
                <w:szCs w:val="20"/>
              </w:rPr>
              <w:t>дискримінації</w:t>
            </w:r>
            <w:proofErr w:type="spellEnd"/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63E2D" w:rsidRPr="008564D4" w:rsidRDefault="00663E2D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proofErr w:type="spellEnd"/>
          </w:p>
          <w:p w:rsidR="00663E2D" w:rsidRPr="008564D4" w:rsidRDefault="00663E2D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2D" w:rsidRPr="008564D4" w:rsidRDefault="00663E2D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слухачів</w:t>
            </w:r>
            <w:proofErr w:type="spellEnd"/>
          </w:p>
        </w:tc>
        <w:tc>
          <w:tcPr>
            <w:tcW w:w="920" w:type="dxa"/>
          </w:tcPr>
          <w:p w:rsidR="00663E2D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72" w:type="dxa"/>
          </w:tcPr>
          <w:p w:rsidR="00663E2D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72" w:type="dxa"/>
          </w:tcPr>
          <w:p w:rsidR="00663E2D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72" w:type="dxa"/>
          </w:tcPr>
          <w:p w:rsidR="00663E2D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949" w:rsidRPr="008564D4" w:rsidRDefault="00A2194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0" w:type="dxa"/>
          </w:tcPr>
          <w:p w:rsidR="00663E2D" w:rsidRPr="008564D4" w:rsidRDefault="00A560B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1.Дотримання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мовного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веденні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ділової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документації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виконавчих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органах</w:t>
            </w:r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неухильне</w:t>
            </w:r>
            <w:proofErr w:type="spellEnd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проведенні</w:t>
            </w:r>
            <w:proofErr w:type="spellEnd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конкурсів</w:t>
            </w:r>
            <w:proofErr w:type="spellEnd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заміщення</w:t>
            </w:r>
            <w:proofErr w:type="spellEnd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вакантних</w:t>
            </w:r>
            <w:proofErr w:type="spellEnd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посад в органах </w:t>
            </w:r>
            <w:proofErr w:type="spellStart"/>
            <w:r w:rsidR="00705E16" w:rsidRPr="008564D4">
              <w:rPr>
                <w:rFonts w:ascii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="00832C3D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2C3D" w:rsidRPr="008564D4">
              <w:rPr>
                <w:rFonts w:ascii="Times New Roman" w:hAnsi="Times New Roman" w:cs="Times New Roman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2865" w:type="dxa"/>
          </w:tcPr>
          <w:p w:rsidR="00663E2D" w:rsidRPr="008564D4" w:rsidRDefault="00444A5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цифрового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розвитку,цифрової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трансформації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цифровізації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центрів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адміністративних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Рівненської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райдержадміністрації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спорту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райдержадміністрації</w:t>
            </w:r>
            <w:proofErr w:type="spellEnd"/>
          </w:p>
        </w:tc>
        <w:tc>
          <w:tcPr>
            <w:tcW w:w="1383" w:type="dxa"/>
          </w:tcPr>
          <w:p w:rsidR="00663E2D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663E2D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663E2D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663E2D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</w:tcPr>
          <w:p w:rsidR="00663E2D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D4" w:rsidRPr="008564D4" w:rsidTr="008564D4">
        <w:tc>
          <w:tcPr>
            <w:tcW w:w="1555" w:type="dxa"/>
          </w:tcPr>
          <w:p w:rsidR="00F11B3F" w:rsidRPr="008564D4" w:rsidRDefault="00F11B3F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11B3F" w:rsidRPr="008564D4" w:rsidRDefault="00F11B3F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F11B3F" w:rsidRPr="008564D4" w:rsidRDefault="00F11B3F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11B3F" w:rsidRPr="008564D4" w:rsidRDefault="00F11B3F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11B3F" w:rsidRPr="008564D4" w:rsidRDefault="00F11B3F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11B3F" w:rsidRPr="008564D4" w:rsidRDefault="00F11B3F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F11B3F" w:rsidRPr="008564D4" w:rsidRDefault="00832C3D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2.Забезпечення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щорічних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навчань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ділової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загальних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короткострокових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модулів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45D2A" w:rsidRPr="008564D4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фесійних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сертифікатних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рівня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володіння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державною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мовою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службовців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посадових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осіб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самоврядування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5" w:type="dxa"/>
          </w:tcPr>
          <w:p w:rsidR="00F11B3F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спорту,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Рівненський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регіональний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</w:p>
        </w:tc>
        <w:tc>
          <w:tcPr>
            <w:tcW w:w="1383" w:type="dxa"/>
          </w:tcPr>
          <w:p w:rsidR="00F11B3F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Місцеві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243" w:type="dxa"/>
          </w:tcPr>
          <w:p w:rsidR="00F11B3F" w:rsidRPr="008564D4" w:rsidRDefault="00F11B3F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F11B3F" w:rsidRPr="008564D4" w:rsidRDefault="00F11B3F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F11B3F" w:rsidRPr="008564D4" w:rsidRDefault="00F11B3F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F11B3F" w:rsidRPr="008564D4" w:rsidRDefault="00F11B3F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4D4" w:rsidRPr="008564D4" w:rsidTr="008564D4">
        <w:tc>
          <w:tcPr>
            <w:tcW w:w="1555" w:type="dxa"/>
          </w:tcPr>
          <w:p w:rsidR="001C7795" w:rsidRPr="008564D4" w:rsidRDefault="001C77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3.Підвищення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рівня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володіння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державною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мовою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серед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мотивування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вивчення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спілкування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українською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мовою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запровадження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відповідних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проектів</w:t>
            </w:r>
            <w:proofErr w:type="spellEnd"/>
          </w:p>
        </w:tc>
        <w:tc>
          <w:tcPr>
            <w:tcW w:w="1022" w:type="dxa"/>
          </w:tcPr>
          <w:p w:rsidR="00CB3EE0" w:rsidRPr="008564D4" w:rsidRDefault="001C7795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="00CB3EE0" w:rsidRPr="008564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C7795" w:rsidRPr="008564D4" w:rsidRDefault="00CB3EE0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</w:p>
          <w:p w:rsidR="001C7795" w:rsidRPr="008564D4" w:rsidRDefault="001C7795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795" w:rsidRPr="008564D4" w:rsidRDefault="001C7795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795" w:rsidRPr="008564D4" w:rsidRDefault="001C7795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795" w:rsidRPr="008564D4" w:rsidRDefault="001C7795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795" w:rsidRPr="008564D4" w:rsidRDefault="001C7795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795" w:rsidRPr="008564D4" w:rsidRDefault="001C7795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C7795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14/</w:t>
            </w: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C7795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72" w:type="dxa"/>
          </w:tcPr>
          <w:p w:rsidR="001C7795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72" w:type="dxa"/>
          </w:tcPr>
          <w:p w:rsidR="001C7795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</w:p>
          <w:p w:rsidR="00CB3EE0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450" w:type="dxa"/>
          </w:tcPr>
          <w:p w:rsidR="001C7795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Неухильне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дотримання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закладами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дошкільної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позашкільної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професійно-технічної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передвищої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провадження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освітнього</w:t>
            </w:r>
            <w:proofErr w:type="spellEnd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7795" w:rsidRPr="008564D4">
              <w:rPr>
                <w:rFonts w:ascii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українською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2865" w:type="dxa"/>
          </w:tcPr>
          <w:p w:rsidR="001C779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цифрового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розвитку,цифрової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трансформації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цифровізації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центрів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адміністративних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Рівненської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райдержадміністрації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спорту,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виконавчі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комітети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сільських,селищних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міських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рад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територіальних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громад,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інститути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громадянського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суспільства</w:t>
            </w:r>
            <w:proofErr w:type="spellEnd"/>
          </w:p>
        </w:tc>
        <w:tc>
          <w:tcPr>
            <w:tcW w:w="1383" w:type="dxa"/>
          </w:tcPr>
          <w:p w:rsidR="001C7795" w:rsidRPr="008564D4" w:rsidRDefault="001C77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1C7795" w:rsidRPr="008564D4" w:rsidRDefault="001C77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7795" w:rsidRPr="008564D4" w:rsidRDefault="001C77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1C7795" w:rsidRPr="008564D4" w:rsidRDefault="001C77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1C7795" w:rsidRPr="008564D4" w:rsidRDefault="001C779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4D4" w:rsidRPr="008564D4" w:rsidTr="008564D4">
        <w:tc>
          <w:tcPr>
            <w:tcW w:w="1555" w:type="dxa"/>
          </w:tcPr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C0E86" w:rsidRPr="008564D4" w:rsidRDefault="00FC0E86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літературно-мистецьких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навчально-патріотичних,інформаційних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, культурно-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масових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спортивних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молодіжних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популяризації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всеукраїнські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обласні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районні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міжрегіональні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фестивалі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конкурси,конференції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тематичні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читання,години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поезії,літературні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вечори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виставки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державну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мову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демонстрування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кінофільмів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5D2A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районних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конкурсів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знавців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, культурно-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просвітницьких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ушанування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в закладах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квестів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ЗЗСО,конкурсів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інтерактивних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плакатів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«Краса і сила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районних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етапів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всеукрвїнських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міжнародних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мовно-літературних</w:t>
            </w:r>
            <w:proofErr w:type="spellEnd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0A44" w:rsidRPr="008564D4">
              <w:rPr>
                <w:rFonts w:ascii="Times New Roman" w:hAnsi="Times New Roman" w:cs="Times New Roman"/>
                <w:sz w:val="20"/>
                <w:szCs w:val="20"/>
              </w:rPr>
              <w:t>конкурсів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: конкурсу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учнівської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студентської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імені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Тараса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Шевченка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міжнародного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конкурсу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знавців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імені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Петра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Яцика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всеукраїнського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конкурсу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учнівської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гаслом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Об’єднаймося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ж,брати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мої</w:t>
            </w:r>
            <w:proofErr w:type="spellEnd"/>
            <w:r w:rsidR="00CF46A6" w:rsidRPr="008564D4">
              <w:rPr>
                <w:rFonts w:ascii="Times New Roman" w:hAnsi="Times New Roman" w:cs="Times New Roman"/>
                <w:sz w:val="20"/>
                <w:szCs w:val="20"/>
              </w:rPr>
              <w:t>!».</w:t>
            </w:r>
          </w:p>
        </w:tc>
        <w:tc>
          <w:tcPr>
            <w:tcW w:w="2865" w:type="dxa"/>
          </w:tcPr>
          <w:p w:rsidR="00FC0E86" w:rsidRPr="008564D4" w:rsidRDefault="00FC0E8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C0E86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Місцеві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FC5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243" w:type="dxa"/>
          </w:tcPr>
          <w:p w:rsidR="00FC0E86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FC0E86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FC0E86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</w:tcPr>
          <w:p w:rsidR="00FC0E86" w:rsidRPr="008564D4" w:rsidRDefault="00FD7FC5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D4" w:rsidRPr="008564D4" w:rsidTr="008564D4">
        <w:tc>
          <w:tcPr>
            <w:tcW w:w="1555" w:type="dxa"/>
          </w:tcPr>
          <w:p w:rsidR="00AD4BF3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.Розширення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мережі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курсів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вивчення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в тому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дистанційних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онлайн-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курсів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) для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різних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категорій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у тому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безоплатній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основі</w:t>
            </w:r>
            <w:proofErr w:type="spellEnd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D4BF3" w:rsidRPr="008564D4">
              <w:rPr>
                <w:rFonts w:ascii="Times New Roman" w:hAnsi="Times New Roman" w:cs="Times New Roman"/>
                <w:sz w:val="20"/>
                <w:szCs w:val="20"/>
              </w:rPr>
              <w:t>здій</w:t>
            </w:r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>снення</w:t>
            </w:r>
            <w:proofErr w:type="spellEnd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інших</w:t>
            </w:r>
            <w:proofErr w:type="spellEnd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>сприяння</w:t>
            </w:r>
            <w:proofErr w:type="spellEnd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>опануванню</w:t>
            </w:r>
            <w:proofErr w:type="spellEnd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37BB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</w:p>
          <w:p w:rsidR="00AD4BF3" w:rsidRPr="008564D4" w:rsidRDefault="00AD4BF3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AD4BF3" w:rsidRPr="008564D4" w:rsidRDefault="002B37BB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діючих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центрів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охоплених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920" w:type="dxa"/>
          </w:tcPr>
          <w:p w:rsidR="00AD4BF3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4/600</w:t>
            </w:r>
          </w:p>
        </w:tc>
        <w:tc>
          <w:tcPr>
            <w:tcW w:w="672" w:type="dxa"/>
          </w:tcPr>
          <w:p w:rsidR="00AD4BF3" w:rsidRPr="008564D4" w:rsidRDefault="000615B9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  <w:r w:rsidR="00CB3EE0" w:rsidRPr="008564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</w:tcPr>
          <w:p w:rsidR="00AD4BF3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4/200</w:t>
            </w:r>
          </w:p>
        </w:tc>
        <w:tc>
          <w:tcPr>
            <w:tcW w:w="672" w:type="dxa"/>
          </w:tcPr>
          <w:p w:rsidR="00AD4BF3" w:rsidRPr="008564D4" w:rsidRDefault="00CB3EE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4/200</w:t>
            </w:r>
          </w:p>
        </w:tc>
        <w:tc>
          <w:tcPr>
            <w:tcW w:w="2450" w:type="dxa"/>
          </w:tcPr>
          <w:p w:rsidR="00AD4BF3" w:rsidRPr="008564D4" w:rsidRDefault="002B37BB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1.Запровадження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популяризація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безоплатних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курсів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, онлайн-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курсів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різних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категорій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у тому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ветеранів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війни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членів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сімей,членів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сімей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загиблих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ветеранів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війни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Захисників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Захисниць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також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громадян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вивчали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українську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мову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5" w:type="dxa"/>
          </w:tcPr>
          <w:p w:rsidR="00AD4BF3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спорту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райдержадміністрації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державна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військова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виконавчі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комітети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сільських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селищних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міських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рад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територіальних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громад,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інститути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громадянського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суспільства</w:t>
            </w:r>
            <w:proofErr w:type="spellEnd"/>
          </w:p>
        </w:tc>
        <w:tc>
          <w:tcPr>
            <w:tcW w:w="1383" w:type="dxa"/>
          </w:tcPr>
          <w:p w:rsidR="00AD4BF3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Місцеві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</w:tc>
        <w:tc>
          <w:tcPr>
            <w:tcW w:w="1243" w:type="dxa"/>
          </w:tcPr>
          <w:p w:rsidR="00AD4BF3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AD4BF3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AD4BF3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</w:tcPr>
          <w:p w:rsidR="00AD4BF3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D4" w:rsidRPr="008564D4" w:rsidTr="008564D4">
        <w:tc>
          <w:tcPr>
            <w:tcW w:w="1555" w:type="dxa"/>
          </w:tcPr>
          <w:p w:rsidR="002B37BB" w:rsidRPr="008564D4" w:rsidRDefault="002B37BB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7BB" w:rsidRPr="008564D4" w:rsidRDefault="002B37BB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2B37BB" w:rsidRPr="008564D4" w:rsidRDefault="00335E00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E00" w:rsidRPr="008564D4" w:rsidRDefault="00335E00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920" w:type="dxa"/>
          </w:tcPr>
          <w:p w:rsidR="002B37BB" w:rsidRPr="008564D4" w:rsidRDefault="00335E0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72" w:type="dxa"/>
          </w:tcPr>
          <w:p w:rsidR="002B37BB" w:rsidRPr="008564D4" w:rsidRDefault="00335E0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72" w:type="dxa"/>
          </w:tcPr>
          <w:p w:rsidR="002B37BB" w:rsidRPr="008564D4" w:rsidRDefault="00335E0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72" w:type="dxa"/>
          </w:tcPr>
          <w:p w:rsidR="002B37BB" w:rsidRPr="008564D4" w:rsidRDefault="00335E00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50" w:type="dxa"/>
          </w:tcPr>
          <w:p w:rsidR="002B37BB" w:rsidRPr="008564D4" w:rsidRDefault="00100A44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достопу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розмовних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клубів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базі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бібліотечних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5" w:type="dxa"/>
          </w:tcPr>
          <w:p w:rsidR="002B37BB" w:rsidRPr="008564D4" w:rsidRDefault="002B37BB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2B37BB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Місцеві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</w:tc>
        <w:tc>
          <w:tcPr>
            <w:tcW w:w="1243" w:type="dxa"/>
          </w:tcPr>
          <w:p w:rsidR="002B37BB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2B37BB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2B37BB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</w:tcPr>
          <w:p w:rsidR="002B37BB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53A" w:rsidRPr="008564D4" w:rsidRDefault="0091453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</w:tr>
      <w:tr w:rsidR="008564D4" w:rsidRPr="008564D4" w:rsidTr="008564D4">
        <w:tc>
          <w:tcPr>
            <w:tcW w:w="1555" w:type="dxa"/>
          </w:tcPr>
          <w:p w:rsidR="00CF46A6" w:rsidRPr="008564D4" w:rsidRDefault="00CF46A6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5.Сприяння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функціонуванню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усіх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сферах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суспільного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</w:p>
        </w:tc>
        <w:tc>
          <w:tcPr>
            <w:tcW w:w="1022" w:type="dxa"/>
          </w:tcPr>
          <w:p w:rsidR="00CF46A6" w:rsidRPr="008564D4" w:rsidRDefault="00C0727C" w:rsidP="0085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учасників</w:t>
            </w:r>
            <w:proofErr w:type="spellEnd"/>
          </w:p>
        </w:tc>
        <w:tc>
          <w:tcPr>
            <w:tcW w:w="920" w:type="dxa"/>
          </w:tcPr>
          <w:p w:rsidR="00CF46A6" w:rsidRPr="008564D4" w:rsidRDefault="00845D2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5E00" w:rsidRPr="008564D4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</w:p>
          <w:p w:rsidR="00845D2A" w:rsidRPr="008564D4" w:rsidRDefault="00845D2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672" w:type="dxa"/>
          </w:tcPr>
          <w:p w:rsidR="00CF46A6" w:rsidRPr="008564D4" w:rsidRDefault="00845D2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</w:p>
          <w:p w:rsidR="00845D2A" w:rsidRPr="008564D4" w:rsidRDefault="00845D2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72" w:type="dxa"/>
          </w:tcPr>
          <w:p w:rsidR="00CF46A6" w:rsidRPr="008564D4" w:rsidRDefault="00845D2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6/</w:t>
            </w:r>
          </w:p>
          <w:p w:rsidR="00845D2A" w:rsidRPr="008564D4" w:rsidRDefault="00845D2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72" w:type="dxa"/>
          </w:tcPr>
          <w:p w:rsidR="00CF46A6" w:rsidRPr="008564D4" w:rsidRDefault="00845D2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35E00" w:rsidRPr="008564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45D2A" w:rsidRPr="008564D4" w:rsidRDefault="00845D2A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450" w:type="dxa"/>
          </w:tcPr>
          <w:p w:rsidR="00CF46A6" w:rsidRPr="008564D4" w:rsidRDefault="00C0727C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1.Використання в закладах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дошкільної,позашкільної,загальної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="00845D2A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D2A"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навчальної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українською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мовою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упровадження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норм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нової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редакції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правопису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освітньому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здійснення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удосконалення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професійної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компетентності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педагогічних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>мовних</w:t>
            </w:r>
            <w:proofErr w:type="spellEnd"/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>дисциплін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на курсах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педагогічних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здійснення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спрямованих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популяризацію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збереження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духовно-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історичної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спадщини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з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підтримки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видання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книг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українською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мовою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проведення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книжкових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фестивалів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флешмобів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читацьких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форумів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бібліотечних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уроків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виставок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інтерактивних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вебресурсів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уроків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відеоуроків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>розробка</w:t>
            </w:r>
            <w:proofErr w:type="spellEnd"/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15B9" w:rsidRPr="008564D4">
              <w:rPr>
                <w:rFonts w:ascii="Times New Roman" w:hAnsi="Times New Roman" w:cs="Times New Roman"/>
                <w:sz w:val="20"/>
                <w:szCs w:val="20"/>
              </w:rPr>
              <w:t>україн</w:t>
            </w:r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омовних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продуктів-методичних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посібників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сценаріїв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масових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науково-методичних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рекомендацій</w:t>
            </w:r>
            <w:proofErr w:type="spellEnd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-для </w:t>
            </w:r>
            <w:proofErr w:type="spellStart"/>
            <w:r w:rsidR="001D118C" w:rsidRPr="008564D4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розміщення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офіційних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вебсайтах і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сторінках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соцмереж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1319" w:rsidRPr="008564D4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норми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літературної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історію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державності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, культурно-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мистецьку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спадщину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українського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народу,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підтримка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громадських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ініціатив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спрямованих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популяризацію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поширення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серед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молоді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як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невід’ємної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частини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національно-патріотичного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виховання</w:t>
            </w:r>
            <w:proofErr w:type="spellEnd"/>
            <w:r w:rsidR="00FB267E" w:rsidRPr="00856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5" w:type="dxa"/>
          </w:tcPr>
          <w:p w:rsidR="00CF46A6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спорту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райдержадміністрації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державна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військова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виконавчі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комітети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сільських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селищних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міських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рад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територіальних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громад,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інститути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громадянського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суспільства</w:t>
            </w:r>
            <w:proofErr w:type="spellEnd"/>
          </w:p>
        </w:tc>
        <w:tc>
          <w:tcPr>
            <w:tcW w:w="1383" w:type="dxa"/>
          </w:tcPr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Місцеві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6A6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бюджети</w:t>
            </w:r>
            <w:proofErr w:type="spellEnd"/>
          </w:p>
        </w:tc>
        <w:tc>
          <w:tcPr>
            <w:tcW w:w="1243" w:type="dxa"/>
          </w:tcPr>
          <w:p w:rsidR="00CF46A6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616" w:type="dxa"/>
          </w:tcPr>
          <w:p w:rsidR="00CF46A6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CF46A6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</w:tcPr>
          <w:p w:rsidR="00CF46A6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198" w:rsidRPr="008564D4" w:rsidRDefault="00DE0198" w:rsidP="0085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E1D52" w:rsidRPr="008564D4" w:rsidRDefault="00B4167C" w:rsidP="008564D4">
      <w:pPr>
        <w:rPr>
          <w:rFonts w:ascii="Times New Roman" w:hAnsi="Times New Roman" w:cs="Times New Roman"/>
          <w:sz w:val="20"/>
          <w:szCs w:val="20"/>
        </w:rPr>
      </w:pPr>
    </w:p>
    <w:sectPr w:rsidR="001E1D52" w:rsidRPr="008564D4" w:rsidSect="008564D4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4FC6"/>
    <w:multiLevelType w:val="hybridMultilevel"/>
    <w:tmpl w:val="6ECA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C9"/>
    <w:rsid w:val="000615B9"/>
    <w:rsid w:val="00075DC2"/>
    <w:rsid w:val="00092EDB"/>
    <w:rsid w:val="000B4E18"/>
    <w:rsid w:val="00100A44"/>
    <w:rsid w:val="001046B1"/>
    <w:rsid w:val="00106995"/>
    <w:rsid w:val="001C7795"/>
    <w:rsid w:val="001D118C"/>
    <w:rsid w:val="002B37BB"/>
    <w:rsid w:val="00335E00"/>
    <w:rsid w:val="00444A54"/>
    <w:rsid w:val="0045760E"/>
    <w:rsid w:val="00463689"/>
    <w:rsid w:val="00561319"/>
    <w:rsid w:val="00574D16"/>
    <w:rsid w:val="00663E2D"/>
    <w:rsid w:val="00705E16"/>
    <w:rsid w:val="00832C3D"/>
    <w:rsid w:val="00845D2A"/>
    <w:rsid w:val="008564D4"/>
    <w:rsid w:val="0091453A"/>
    <w:rsid w:val="009806FA"/>
    <w:rsid w:val="009E40C9"/>
    <w:rsid w:val="009F010E"/>
    <w:rsid w:val="00A21949"/>
    <w:rsid w:val="00A47D01"/>
    <w:rsid w:val="00A560B0"/>
    <w:rsid w:val="00A9702E"/>
    <w:rsid w:val="00AD4BF3"/>
    <w:rsid w:val="00B4167C"/>
    <w:rsid w:val="00C0727C"/>
    <w:rsid w:val="00C208D5"/>
    <w:rsid w:val="00C34D3E"/>
    <w:rsid w:val="00C42919"/>
    <w:rsid w:val="00CB3EE0"/>
    <w:rsid w:val="00CB6887"/>
    <w:rsid w:val="00CF46A6"/>
    <w:rsid w:val="00DE0198"/>
    <w:rsid w:val="00E5331F"/>
    <w:rsid w:val="00F11B3F"/>
    <w:rsid w:val="00FB267E"/>
    <w:rsid w:val="00FC0E86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1FC4"/>
  <w15:chartTrackingRefBased/>
  <w15:docId w15:val="{EC33B9C6-3466-4C08-9DBC-69941DDC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639E-3488-4D00-B157-382D7D95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ЗДРОК</cp:lastModifiedBy>
  <cp:revision>14</cp:revision>
  <dcterms:created xsi:type="dcterms:W3CDTF">2024-06-24T13:30:00Z</dcterms:created>
  <dcterms:modified xsi:type="dcterms:W3CDTF">2024-07-17T13:52:00Z</dcterms:modified>
</cp:coreProperties>
</file>