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65C62" w:rsidRPr="00433AFF" w:rsidP="002B78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63DDC" w:rsidRPr="00363DDC" w:rsidP="00363D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363DDC">
        <w:rPr>
          <w:rFonts w:ascii="Times New Roman" w:hAnsi="Times New Roman"/>
          <w:b/>
          <w:sz w:val="28"/>
          <w:szCs w:val="28"/>
        </w:rPr>
        <w:t xml:space="preserve">ЗАТВЕРДЖЕНО                                                      </w:t>
      </w:r>
    </w:p>
    <w:p w:rsidR="00363DDC" w:rsidRPr="00363DDC" w:rsidP="00363D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3D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DDC">
        <w:rPr>
          <w:rFonts w:ascii="Times New Roman" w:hAnsi="Times New Roman"/>
          <w:sz w:val="28"/>
          <w:szCs w:val="28"/>
        </w:rPr>
        <w:t>Наказ управління соціального</w:t>
      </w:r>
    </w:p>
    <w:p w:rsidR="00363DDC" w:rsidRPr="00363DDC" w:rsidP="00363D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D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захисту населення Рівненської</w:t>
      </w:r>
    </w:p>
    <w:p w:rsidR="00363DDC" w:rsidRPr="00363DDC" w:rsidP="00363D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DDC">
        <w:rPr>
          <w:rFonts w:ascii="Times New Roman" w:hAnsi="Times New Roman"/>
          <w:sz w:val="28"/>
          <w:szCs w:val="28"/>
        </w:rPr>
        <w:t xml:space="preserve">                                                             райдержадміністрації</w:t>
      </w:r>
    </w:p>
    <w:p w:rsidR="00465C62" w:rsidRPr="004A03CB" w:rsidP="00363DDC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63DDC" w:rsidR="00363DD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63DDC" w:rsidR="00363DDC">
        <w:rPr>
          <w:rFonts w:ascii="Times New Roman" w:hAnsi="Times New Roman"/>
          <w:sz w:val="28"/>
          <w:szCs w:val="28"/>
        </w:rPr>
        <w:t xml:space="preserve">     </w:t>
      </w:r>
      <w:r w:rsidRPr="004A03CB" w:rsidR="004A03CB">
        <w:rPr>
          <w:rFonts w:ascii="Times New Roman" w:hAnsi="Times New Roman"/>
          <w:sz w:val="28"/>
          <w:szCs w:val="28"/>
        </w:rPr>
        <w:t>14 листопада 2023 року № 27</w:t>
      </w:r>
      <w:r w:rsidRPr="004A03CB" w:rsidR="00363DDC">
        <w:rPr>
          <w:rFonts w:ascii="Times New Roman" w:hAnsi="Times New Roman"/>
          <w:sz w:val="28"/>
          <w:szCs w:val="28"/>
        </w:rPr>
        <w:t xml:space="preserve"> </w:t>
      </w:r>
    </w:p>
    <w:p w:rsidR="00465C62" w:rsidRPr="00B263C2" w:rsidP="00465C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465C62" w:rsidRPr="00B263C2" w:rsidP="00465C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C155F" w:rsidR="004C155F">
        <w:rPr>
          <w:rFonts w:ascii="Times New Roman" w:hAnsi="Times New Roman"/>
          <w:b/>
          <w:sz w:val="28"/>
          <w:szCs w:val="28"/>
        </w:rPr>
        <w:t>ТИПОВА ТЕХНОЛОГІЧНА КАРТКА</w:t>
      </w:r>
      <w:r w:rsidRPr="004C155F">
        <w:rPr>
          <w:rFonts w:ascii="Times New Roman" w:hAnsi="Times New Roman"/>
          <w:sz w:val="28"/>
          <w:szCs w:val="28"/>
          <w:lang w:eastAsia="uk-UA"/>
        </w:rPr>
        <w:br/>
      </w:r>
      <w:r w:rsidRPr="00B263C2">
        <w:rPr>
          <w:rFonts w:ascii="Times New Roman" w:hAnsi="Times New Roman"/>
          <w:b/>
          <w:bCs/>
          <w:sz w:val="24"/>
          <w:szCs w:val="24"/>
          <w:lang w:eastAsia="uk-UA"/>
        </w:rPr>
        <w:t>адміністративної послуги</w:t>
      </w:r>
    </w:p>
    <w:p w:rsidR="00363DDC" w:rsidP="00363DDC">
      <w:pPr>
        <w:pStyle w:val="HTMLPreformatted"/>
        <w:tabs>
          <w:tab w:val="clear" w:pos="916"/>
        </w:tabs>
        <w:jc w:val="center"/>
        <w:rPr>
          <w:rFonts w:ascii="Times New Roman" w:hAnsi="Times New Roman"/>
          <w:lang w:val="uk-UA" w:eastAsia="uk-UA"/>
        </w:rPr>
      </w:pPr>
      <w:bookmarkStart w:id="1" w:name="n13"/>
      <w:bookmarkEnd w:id="1"/>
      <w:r w:rsidRPr="00363DDC" w:rsidR="00465C62">
        <w:rPr>
          <w:rFonts w:ascii="Times New Roman" w:hAnsi="Times New Roman"/>
          <w:b/>
          <w:lang w:val="uk-UA" w:eastAsia="uk-UA"/>
        </w:rPr>
        <w:t xml:space="preserve">«ЗАБЕЗПЕЧЕННЯ НАПРАВЛЕННЯ ДІТЕЙ З ІНВАЛІДНІСТЮ                                      ДО РЕАБІЛІТАЦІЙНОЇ УСТАНОВИ ДЛЯ НАДАННЯ РЕАБІЛІТАЦІЙНИХ ПОСЛУГ </w:t>
        <w:br/>
        <w:t>ЗА ПРОГРАМОЮ „РЕАБІЛІТАЦІЯ ДІТЕЙ З ІНВАЛІДНІСТЮ</w:t>
      </w:r>
      <w:r w:rsidRPr="00363DDC" w:rsidR="00465C62">
        <w:rPr>
          <w:rFonts w:ascii="Times New Roman" w:hAnsi="Times New Roman"/>
          <w:lang w:val="uk-UA" w:eastAsia="uk-UA"/>
        </w:rPr>
        <w:t>»</w:t>
      </w:r>
    </w:p>
    <w:p w:rsidR="00363DDC" w:rsidRPr="00363DDC" w:rsidP="00363DDC">
      <w:pPr>
        <w:pStyle w:val="HTMLPreformatted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DDC" w:rsidR="00465C62">
        <w:rPr>
          <w:rFonts w:ascii="Times New Roman" w:hAnsi="Times New Roman"/>
          <w:lang w:val="uk-UA" w:eastAsia="uk-UA"/>
        </w:rPr>
        <w:br/>
      </w:r>
      <w:r w:rsidRPr="00363DDC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465C62" w:rsidRPr="00363DDC" w:rsidP="00363DDC">
      <w:pPr>
        <w:jc w:val="center"/>
        <w:rPr>
          <w:rFonts w:ascii="Times New Roman" w:hAnsi="Times New Roman"/>
          <w:b/>
          <w:sz w:val="28"/>
          <w:szCs w:val="28"/>
        </w:rPr>
      </w:pPr>
      <w:r w:rsidRPr="00363DDC" w:rsidR="00363DDC">
        <w:rPr>
          <w:rFonts w:ascii="Times New Roman" w:hAnsi="Times New Roman"/>
          <w:b/>
          <w:sz w:val="28"/>
          <w:szCs w:val="28"/>
        </w:rPr>
        <w:t>Рівненської районної державної адміністрації Рівненської області</w:t>
      </w:r>
      <w:r w:rsidRPr="00363DDC">
        <w:rPr>
          <w:rFonts w:ascii="Times New Roman" w:hAnsi="Times New Roman"/>
          <w:sz w:val="20"/>
          <w:szCs w:val="20"/>
          <w:lang w:eastAsia="uk-UA"/>
        </w:rPr>
        <w:t xml:space="preserve"> </w:t>
      </w:r>
    </w:p>
    <w:tbl>
      <w:tblPr>
        <w:tblStyle w:val="TableNormal"/>
        <w:tblW w:w="503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3"/>
        <w:gridCol w:w="3810"/>
        <w:gridCol w:w="2463"/>
        <w:gridCol w:w="886"/>
        <w:gridCol w:w="1873"/>
      </w:tblGrid>
      <w:tr w:rsidTr="004E6868">
        <w:tblPrEx>
          <w:tblW w:w="5034" w:type="pc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wBefore w:w="0" w:type="pct"/>
          <w:wAfter w:w="0" w:type="pct"/>
          <w:trHeight w:val="11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C62" w:rsidRPr="00F5718C" w:rsidP="00363D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363DDC" w:rsidR="00363DDC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</w:trPr>
        <w:tc>
          <w:tcPr>
            <w:tcW w:w="361" w:type="pct"/>
          </w:tcPr>
          <w:p w:rsidR="004E6868" w:rsidRPr="004E6868" w:rsidP="00FA61DB">
            <w:pPr>
              <w:widowControl w:val="0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pct"/>
          </w:tcPr>
          <w:p w:rsidR="004E6868" w:rsidRPr="004E6868" w:rsidP="00FA61DB">
            <w:pPr>
              <w:pStyle w:val="Standard"/>
              <w:snapToGrid w:val="0"/>
              <w:ind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4E6868">
              <w:rPr>
                <w:rFonts w:ascii="Times New Roman" w:hAnsi="Times New Roman" w:cs="Times New Roman"/>
                <w:lang w:val="uk-UA"/>
              </w:rPr>
              <w:t xml:space="preserve">Заповнення заяви для забезпечення </w:t>
            </w:r>
            <w:r>
              <w:rPr>
                <w:rFonts w:ascii="Times New Roman" w:hAnsi="Times New Roman" w:cs="Times New Roman"/>
                <w:lang w:val="uk-UA"/>
              </w:rPr>
              <w:t>направлення до реабілітаційної установи з надання реабілітаційних послуг</w:t>
            </w:r>
            <w:r w:rsidRPr="004E686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65" w:type="pct"/>
          </w:tcPr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Заявник</w:t>
            </w:r>
          </w:p>
        </w:tc>
        <w:tc>
          <w:tcPr>
            <w:tcW w:w="455" w:type="pct"/>
          </w:tcPr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868">
              <w:rPr>
                <w:rFonts w:ascii="Times New Roman" w:hAnsi="Times New Roman" w:cs="Times New Roman"/>
                <w:lang w:val="uk-UA"/>
              </w:rPr>
              <w:t>Протягом першого робочого дня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</w:trPr>
        <w:tc>
          <w:tcPr>
            <w:tcW w:w="361" w:type="pct"/>
          </w:tcPr>
          <w:p w:rsidR="004E6868" w:rsidRPr="004E6868" w:rsidP="00FA61DB">
            <w:pPr>
              <w:widowControl w:val="0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7" w:type="pct"/>
          </w:tcPr>
          <w:p w:rsidR="004E6868" w:rsidRPr="004E6868" w:rsidP="00FA61DB">
            <w:pPr>
              <w:pStyle w:val="Standard"/>
              <w:snapToGrid w:val="0"/>
              <w:ind w:left="2" w:right="34" w:firstLine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E6868">
              <w:rPr>
                <w:rFonts w:ascii="Times New Roman" w:hAnsi="Times New Roman" w:cs="Times New Roman"/>
                <w:lang w:val="uk-UA"/>
              </w:rPr>
              <w:t>Перевірка поданого пакету документів, формування особової справи</w:t>
            </w:r>
          </w:p>
        </w:tc>
        <w:tc>
          <w:tcPr>
            <w:tcW w:w="1265" w:type="pct"/>
          </w:tcPr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Адміністратор ЦНАП або ВРМ</w:t>
            </w:r>
          </w:p>
        </w:tc>
        <w:tc>
          <w:tcPr>
            <w:tcW w:w="455" w:type="pct"/>
          </w:tcPr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868">
              <w:rPr>
                <w:rFonts w:ascii="Times New Roman" w:hAnsi="Times New Roman" w:cs="Times New Roman"/>
                <w:lang w:val="uk-UA"/>
              </w:rPr>
              <w:t>Протягом першого робочого дня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</w:trPr>
        <w:tc>
          <w:tcPr>
            <w:tcW w:w="361" w:type="pct"/>
          </w:tcPr>
          <w:p w:rsidR="004E6868" w:rsidRPr="004E6868" w:rsidP="00FA61DB">
            <w:pPr>
              <w:widowControl w:val="0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7" w:type="pct"/>
          </w:tcPr>
          <w:p w:rsidR="004E6868" w:rsidRPr="004E6868" w:rsidP="00FA61DB">
            <w:pPr>
              <w:pStyle w:val="Standard"/>
              <w:snapToGrid w:val="0"/>
              <w:ind w:left="2" w:right="34" w:firstLine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E6868">
              <w:rPr>
                <w:rFonts w:ascii="Times New Roman" w:hAnsi="Times New Roman" w:cs="Times New Roman"/>
                <w:lang w:val="uk-UA"/>
              </w:rPr>
              <w:t>Повідомлення замовника про орієнтовний термін виконання, внесення даних в програму для ведення статистики та контролю адміністративних послуг, видача опису документів</w:t>
            </w:r>
          </w:p>
        </w:tc>
        <w:tc>
          <w:tcPr>
            <w:tcW w:w="1265" w:type="pct"/>
          </w:tcPr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Адміністратор ЦНАП або ВРМ</w:t>
            </w:r>
          </w:p>
        </w:tc>
        <w:tc>
          <w:tcPr>
            <w:tcW w:w="455" w:type="pct"/>
          </w:tcPr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Standard"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E6868">
              <w:rPr>
                <w:rFonts w:ascii="Times New Roman" w:hAnsi="Times New Roman" w:cs="Times New Roman"/>
                <w:lang w:val="uk-UA"/>
              </w:rPr>
              <w:t>Протягом першого робочого дня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</w:trPr>
        <w:tc>
          <w:tcPr>
            <w:tcW w:w="361" w:type="pct"/>
          </w:tcPr>
          <w:p w:rsidR="004E6868" w:rsidRPr="004E6868" w:rsidP="00FA61DB">
            <w:pPr>
              <w:widowControl w:val="0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7" w:type="pct"/>
          </w:tcPr>
          <w:p w:rsidR="004E6868" w:rsidRPr="004E6868" w:rsidP="00FA61DB">
            <w:pPr>
              <w:pStyle w:val="Standard"/>
              <w:snapToGrid w:val="0"/>
              <w:ind w:left="2" w:right="34" w:firstLine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E6868">
              <w:rPr>
                <w:rFonts w:ascii="Times New Roman" w:hAnsi="Times New Roman" w:cs="Times New Roman"/>
                <w:lang w:val="uk-UA"/>
              </w:rPr>
              <w:t>Підготовка реєстрів для передачі справ у відділ  пільг та персоніфікованого обліку управління соціального захисту населення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Рівненської РДА</w:t>
            </w:r>
          </w:p>
        </w:tc>
        <w:tc>
          <w:tcPr>
            <w:tcW w:w="1265" w:type="pct"/>
          </w:tcPr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Адміністратор ЦНАП або ВРМ</w:t>
            </w:r>
          </w:p>
        </w:tc>
        <w:tc>
          <w:tcPr>
            <w:tcW w:w="455" w:type="pct"/>
          </w:tcPr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Standard"/>
              <w:snapToGrid w:val="0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868">
              <w:rPr>
                <w:rFonts w:ascii="Times New Roman" w:hAnsi="Times New Roman" w:cs="Times New Roman"/>
                <w:lang w:val="uk-UA"/>
              </w:rPr>
              <w:t>Протягом першого робочого дня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</w:trPr>
        <w:tc>
          <w:tcPr>
            <w:tcW w:w="361" w:type="pct"/>
          </w:tcPr>
          <w:p w:rsidR="004E6868" w:rsidRPr="004E6868" w:rsidP="00FA61DB">
            <w:pPr>
              <w:widowControl w:val="0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7" w:type="pct"/>
          </w:tcPr>
          <w:p w:rsidR="004E6868" w:rsidRPr="004E6868" w:rsidP="00FA61DB">
            <w:pPr>
              <w:pStyle w:val="Standard"/>
              <w:snapToGrid w:val="0"/>
              <w:ind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4E6868">
              <w:rPr>
                <w:rFonts w:ascii="Times New Roman" w:hAnsi="Times New Roman" w:cs="Times New Roman"/>
                <w:lang w:val="uk-UA"/>
              </w:rPr>
              <w:t xml:space="preserve">Передача заяв, документів засвідчених підписом адміністратора у відділ  пільг та персоніфікованого обліку управління соціального захисту населення Рівненської РДА(далі – УСЗН) </w:t>
            </w:r>
          </w:p>
          <w:p w:rsidR="004E6868" w:rsidRPr="004E6868" w:rsidP="00FA61DB">
            <w:pPr>
              <w:pStyle w:val="Standard"/>
              <w:snapToGrid w:val="0"/>
              <w:ind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E6868" w:rsidRPr="004E6868" w:rsidP="00FA61DB">
            <w:pPr>
              <w:pStyle w:val="Standard"/>
              <w:snapToGrid w:val="0"/>
              <w:ind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5" w:type="pct"/>
          </w:tcPr>
          <w:p w:rsidR="004E6868" w:rsidRPr="004E6868" w:rsidP="004E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Адміністратор ЦНАП або ВРМ</w:t>
            </w:r>
          </w:p>
          <w:p w:rsidR="004E6868" w:rsidRPr="004E6868" w:rsidP="004E6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Нач. відділу  пільг та персоніфікованого обліку управління соціального захисту населення (далі – УСЗН)</w:t>
            </w:r>
          </w:p>
        </w:tc>
        <w:tc>
          <w:tcPr>
            <w:tcW w:w="455" w:type="pct"/>
          </w:tcPr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868">
              <w:rPr>
                <w:rFonts w:ascii="Times New Roman" w:hAnsi="Times New Roman" w:cs="Times New Roman"/>
                <w:lang w:val="uk-UA"/>
              </w:rPr>
              <w:t>Згідно затвердженого графіка передачі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</w:trPr>
        <w:tc>
          <w:tcPr>
            <w:tcW w:w="361" w:type="pct"/>
          </w:tcPr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7" w:type="pct"/>
          </w:tcPr>
          <w:p w:rsidR="004E6868" w:rsidRPr="004E6868" w:rsidP="00FA61DB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4E6868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Передача пакету документів заявника до спеціалістів  управління соціального захисту населення Рівненської РДА </w:t>
            </w:r>
          </w:p>
        </w:tc>
        <w:tc>
          <w:tcPr>
            <w:tcW w:w="1265" w:type="pct"/>
          </w:tcPr>
          <w:p w:rsidR="004E6868" w:rsidP="004E686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pacing w:val="-6"/>
                <w:sz w:val="24"/>
                <w:szCs w:val="24"/>
              </w:rPr>
              <w:t>Адміністратор ЦНАПу або ВРМ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  <w:p w:rsidR="004E6868" w:rsidRPr="004E6868" w:rsidP="004E6868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</w:t>
            </w:r>
            <w:r w:rsidRPr="004E6868">
              <w:rPr>
                <w:rFonts w:ascii="Times New Roman" w:hAnsi="Times New Roman"/>
                <w:sz w:val="24"/>
                <w:szCs w:val="24"/>
              </w:rPr>
              <w:t>відділу  пільг та персоніфікованого обліку управління</w:t>
            </w:r>
          </w:p>
        </w:tc>
        <w:tc>
          <w:tcPr>
            <w:tcW w:w="455" w:type="pct"/>
          </w:tcPr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E6868" w:rsidRPr="004E6868" w:rsidP="004E68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868" w:rsidRPr="004E6868" w:rsidP="00FA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868">
              <w:rPr>
                <w:rFonts w:ascii="Times New Roman" w:hAnsi="Times New Roman" w:cs="Times New Roman"/>
                <w:lang w:val="uk-UA"/>
              </w:rPr>
              <w:t>Згідно графіка передачі документів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  <w:trHeight w:val="1237"/>
        </w:trPr>
        <w:tc>
          <w:tcPr>
            <w:tcW w:w="361" w:type="pct"/>
          </w:tcPr>
          <w:p w:rsidR="004E6868" w:rsidRPr="004E6868" w:rsidP="00FA61DB">
            <w:pPr>
              <w:pStyle w:val="12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4E6868" w:rsidRPr="004E6868" w:rsidP="00FA61DB">
            <w:pPr>
              <w:pStyle w:val="12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6868" w:rsidRPr="004E6868" w:rsidP="00FA61DB">
            <w:pPr>
              <w:pStyle w:val="12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6868" w:rsidRPr="004E6868" w:rsidP="00FA61DB">
            <w:pPr>
              <w:pStyle w:val="12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pct"/>
          </w:tcPr>
          <w:p w:rsidR="004E6868" w:rsidRPr="004E6868" w:rsidP="00FA61DB">
            <w:pPr>
              <w:pStyle w:val="BodyText"/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  <w:r w:rsidRPr="004E68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65" w:type="pct"/>
          </w:tcPr>
          <w:p w:rsidR="004E6868" w:rsidRPr="004E6868" w:rsidP="00FA61DB">
            <w:pPr>
              <w:spacing w:after="12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Головний спеціаліст відділу  пільг та персоніфікованого обліку управління соціального захисту населення</w:t>
            </w:r>
          </w:p>
        </w:tc>
        <w:tc>
          <w:tcPr>
            <w:tcW w:w="455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</w:trPr>
        <w:tc>
          <w:tcPr>
            <w:tcW w:w="361" w:type="pct"/>
          </w:tcPr>
          <w:p w:rsidR="004E6868" w:rsidRPr="004E6868" w:rsidP="00FA61DB">
            <w:pPr>
              <w:pStyle w:val="12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57" w:type="pct"/>
          </w:tcPr>
          <w:p w:rsidR="004E6868" w:rsidRPr="004E6868" w:rsidP="00FA61DB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E6868">
              <w:rPr>
                <w:lang w:eastAsia="ar-SA"/>
              </w:rPr>
              <w:t xml:space="preserve">Направлення гарантійного листа  </w:t>
            </w:r>
            <w:r>
              <w:t>до реабілітаційної установи з надання реабілітаційних послуг</w:t>
            </w:r>
          </w:p>
          <w:p w:rsidR="004E6868" w:rsidRPr="004E6868" w:rsidP="00FA61D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5" w:type="pct"/>
          </w:tcPr>
          <w:p w:rsidR="004E6868" w:rsidRPr="004E6868" w:rsidP="00FA61DB">
            <w:pPr>
              <w:spacing w:after="12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455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  <w:trHeight w:val="861"/>
        </w:trPr>
        <w:tc>
          <w:tcPr>
            <w:tcW w:w="361" w:type="pct"/>
          </w:tcPr>
          <w:p w:rsidR="004E6868" w:rsidRPr="004E6868" w:rsidP="00FA61DB">
            <w:pPr>
              <w:pStyle w:val="12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57" w:type="pct"/>
          </w:tcPr>
          <w:p w:rsidR="004E6868" w:rsidRPr="004E6868" w:rsidP="00FA61DB">
            <w:pPr>
              <w:spacing w:after="12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  <w:lang w:eastAsia="ar-SA"/>
              </w:rPr>
              <w:t>Формування  договору</w:t>
            </w:r>
            <w:r w:rsidRPr="004E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до реабілітаційної установи з надання реабілітаційних послуг</w:t>
            </w:r>
            <w:r w:rsidRPr="004E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pct"/>
          </w:tcPr>
          <w:p w:rsidR="004E6868" w:rsidRPr="004E6868" w:rsidP="00FA61DB">
            <w:pPr>
              <w:spacing w:after="12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455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  <w:trHeight w:val="861"/>
        </w:trPr>
        <w:tc>
          <w:tcPr>
            <w:tcW w:w="361" w:type="pct"/>
          </w:tcPr>
          <w:p w:rsidR="004E6868" w:rsidRPr="004E6868" w:rsidP="00FA61DB">
            <w:pPr>
              <w:pStyle w:val="12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57" w:type="pct"/>
          </w:tcPr>
          <w:p w:rsidR="004E6868" w:rsidRPr="004E6868" w:rsidP="00FA61DB">
            <w:pPr>
              <w:spacing w:after="120"/>
              <w:ind w:left="7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686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Підпис договору </w:t>
            </w:r>
            <w:r w:rsidRPr="004E686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</w:rPr>
              <w:t>надання реабілітаційних послуг</w:t>
            </w:r>
          </w:p>
        </w:tc>
        <w:tc>
          <w:tcPr>
            <w:tcW w:w="1265" w:type="pct"/>
          </w:tcPr>
          <w:p w:rsidR="004E6868" w:rsidRPr="004E6868" w:rsidP="00FA61DB">
            <w:pPr>
              <w:spacing w:after="12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6868"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  управління соціального захисту населення Рівненської РДА</w:t>
            </w:r>
          </w:p>
        </w:tc>
        <w:tc>
          <w:tcPr>
            <w:tcW w:w="455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  <w:trHeight w:val="861"/>
        </w:trPr>
        <w:tc>
          <w:tcPr>
            <w:tcW w:w="361" w:type="pct"/>
          </w:tcPr>
          <w:p w:rsidR="004E6868" w:rsidRPr="004E6868" w:rsidP="00FA61DB">
            <w:pPr>
              <w:pStyle w:val="12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57" w:type="pct"/>
          </w:tcPr>
          <w:p w:rsidR="004E6868" w:rsidRPr="004E6868" w:rsidP="00FA61DB">
            <w:pPr>
              <w:spacing w:after="120"/>
              <w:ind w:left="7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="00BF54AB">
              <w:rPr>
                <w:rFonts w:ascii="Times New Roman" w:hAnsi="Times New Roman"/>
                <w:sz w:val="24"/>
                <w:szCs w:val="24"/>
                <w:lang w:eastAsia="ar-SA"/>
              </w:rPr>
              <w:t>Повернення акту</w:t>
            </w:r>
            <w:r w:rsidR="00BF54AB">
              <w:rPr>
                <w:rFonts w:ascii="Times New Roman" w:hAnsi="Times New Roman"/>
              </w:rPr>
              <w:t xml:space="preserve"> з надання реабілітаційних послуг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65" w:type="pct"/>
          </w:tcPr>
          <w:p w:rsidR="004E6868" w:rsidRPr="004E6868" w:rsidP="00FA61DB">
            <w:pPr>
              <w:spacing w:after="12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455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</w:trPr>
        <w:tc>
          <w:tcPr>
            <w:tcW w:w="361" w:type="pct"/>
          </w:tcPr>
          <w:p w:rsidR="004E6868" w:rsidRPr="004E6868" w:rsidP="00FA61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7" w:type="pct"/>
          </w:tcPr>
          <w:p w:rsidR="004E6868" w:rsidRPr="004E6868" w:rsidP="00FA61DB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color w:val="252121"/>
                <w:sz w:val="24"/>
                <w:szCs w:val="24"/>
              </w:rPr>
              <w:t>Перерахування коштів</w:t>
            </w:r>
          </w:p>
        </w:tc>
        <w:tc>
          <w:tcPr>
            <w:tcW w:w="1265" w:type="pct"/>
          </w:tcPr>
          <w:p w:rsidR="004E6868" w:rsidRPr="004E6868" w:rsidP="00FA61DB">
            <w:pPr>
              <w:spacing w:after="12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Спеціаліст відділу бухгалтерського обліку та звітності УСЗН</w:t>
            </w:r>
          </w:p>
        </w:tc>
        <w:tc>
          <w:tcPr>
            <w:tcW w:w="455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4E6868" w:rsidRPr="004E6868" w:rsidP="00FA61D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</w:trPr>
        <w:tc>
          <w:tcPr>
            <w:tcW w:w="4037" w:type="pct"/>
            <w:gridSpan w:val="4"/>
          </w:tcPr>
          <w:p w:rsidR="004E6868" w:rsidRPr="004E6868" w:rsidP="00FA61DB">
            <w:pPr>
              <w:ind w:right="4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Загальна кількість днів надання послуг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12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Tr="004E6868">
        <w:tblPrEx>
          <w:tblW w:w="5034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wAfter w:w="0" w:type="pct"/>
        </w:trPr>
        <w:tc>
          <w:tcPr>
            <w:tcW w:w="4037" w:type="pct"/>
            <w:gridSpan w:val="4"/>
          </w:tcPr>
          <w:p w:rsidR="004E6868" w:rsidRPr="004E6868" w:rsidP="00FA61DB">
            <w:pPr>
              <w:ind w:right="4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68">
              <w:rPr>
                <w:rFonts w:ascii="Times New Roman" w:hAnsi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960" w:type="pct"/>
          </w:tcPr>
          <w:p w:rsidR="004E6868" w:rsidRPr="004E6868" w:rsidP="00FA61DB">
            <w:pPr>
              <w:pStyle w:val="12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4E6868" w:rsidRPr="004E6868" w:rsidP="004E6868">
      <w:pPr>
        <w:rPr>
          <w:rFonts w:ascii="Times New Roman" w:hAnsi="Times New Roman"/>
          <w:sz w:val="24"/>
          <w:szCs w:val="24"/>
          <w:lang w:val="ru-RU"/>
        </w:rPr>
      </w:pPr>
    </w:p>
    <w:p w:rsidR="001B7B08" w:rsidRPr="004E6868" w:rsidP="001D4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465C62">
      <w:headerReference w:type="even" r:id="rId4"/>
      <w:headerReference w:type="default" r:id="rId5"/>
      <w:pgSz w:w="11907" w:h="16840"/>
      <w:pgMar w:top="1134" w:right="567" w:bottom="1134" w:left="1701" w:header="510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3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3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1"/>
    <w:family w:val="roman"/>
    <w:notTrueType/>
    <w:pitch w:val="variable"/>
    <w:sig w:usb0="00008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F" w:rsidP="00465C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C15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F" w:rsidP="00465C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9E1">
      <w:rPr>
        <w:rStyle w:val="PageNumber"/>
        <w:noProof/>
      </w:rPr>
      <w:t>2</w:t>
    </w:r>
    <w:r>
      <w:rPr>
        <w:rStyle w:val="PageNumber"/>
      </w:rPr>
      <w:fldChar w:fldCharType="end"/>
    </w:r>
  </w:p>
  <w:p w:rsidR="004C15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C62"/>
    <w:rsid w:val="001B7B08"/>
    <w:rsid w:val="001D4C0F"/>
    <w:rsid w:val="00214DC3"/>
    <w:rsid w:val="002B78F5"/>
    <w:rsid w:val="00363DDC"/>
    <w:rsid w:val="00433AFF"/>
    <w:rsid w:val="00465C62"/>
    <w:rsid w:val="004A03CB"/>
    <w:rsid w:val="004C155F"/>
    <w:rsid w:val="004E6868"/>
    <w:rsid w:val="008D2E0F"/>
    <w:rsid w:val="00A945DF"/>
    <w:rsid w:val="00B0488E"/>
    <w:rsid w:val="00B263C2"/>
    <w:rsid w:val="00BF54AB"/>
    <w:rsid w:val="00C809E1"/>
    <w:rsid w:val="00CB36A6"/>
    <w:rsid w:val="00D36E2B"/>
    <w:rsid w:val="00F5718C"/>
    <w:rsid w:val="00FA61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C62"/>
    <w:pPr>
      <w:spacing w:after="160" w:line="259" w:lineRule="auto"/>
    </w:pPr>
    <w:rPr>
      <w:rFonts w:ascii="Calibri" w:hAnsi="Calibri"/>
      <w:sz w:val="22"/>
      <w:szCs w:val="22"/>
      <w:lang w:val="uk-UA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65C62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locked/>
    <w:rsid w:val="00465C62"/>
    <w:rPr>
      <w:rFonts w:eastAsia="Calibri"/>
      <w:sz w:val="24"/>
      <w:szCs w:val="24"/>
      <w:lang w:val="uk-UA" w:eastAsia="ru-RU" w:bidi="ar-SA"/>
    </w:rPr>
  </w:style>
  <w:style w:type="character" w:styleId="PageNumber">
    <w:name w:val="page number"/>
    <w:basedOn w:val="DefaultParagraphFont"/>
    <w:rsid w:val="00465C62"/>
    <w:rPr>
      <w:rFonts w:cs="Times New Roman"/>
    </w:rPr>
  </w:style>
  <w:style w:type="character" w:styleId="Hyperlink">
    <w:name w:val="Hyperlink"/>
    <w:basedOn w:val="DefaultParagraphFont"/>
    <w:rsid w:val="00465C62"/>
    <w:rPr>
      <w:rFonts w:cs="Times New Roman"/>
      <w:color w:val="0000FF"/>
      <w:u w:val="single"/>
    </w:rPr>
  </w:style>
  <w:style w:type="paragraph" w:customStyle="1" w:styleId="a">
    <w:name w:val=" Знак Знак Знак Знак Знак"/>
    <w:basedOn w:val="Normal"/>
    <w:rsid w:val="00363DDC"/>
    <w:pPr>
      <w:spacing w:after="0" w:line="240" w:lineRule="auto"/>
    </w:pPr>
    <w:rPr>
      <w:rFonts w:ascii="Verdana" w:hAnsi="Verdana" w:cs="Verdana"/>
      <w:color w:val="000000"/>
      <w:sz w:val="20"/>
      <w:szCs w:val="20"/>
      <w:lang w:val="en-US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a0"/>
    <w:rsid w:val="00363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0">
    <w:name w:val="Знак Знак"/>
    <w:aliases w:val="Знак Знак Знак Знак Знак Знак Знак1 Знак Знак Знак Знак Знак Знак,Стандартний HTML Знак,Знак Знак Знак Знак Знак Знак Знак1 Знак Знак Знак Знак Знак"/>
    <w:link w:val="HTMLPreformatted"/>
    <w:locked/>
    <w:rsid w:val="00363DD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Standard">
    <w:name w:val="Standard"/>
    <w:rsid w:val="001D4C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2">
    <w:name w:val="Без интервала1"/>
    <w:rsid w:val="001D4C0F"/>
    <w:pPr>
      <w:tabs>
        <w:tab w:val="left" w:pos="708"/>
      </w:tabs>
      <w:suppressAutoHyphens/>
      <w:spacing w:line="100" w:lineRule="atLeast"/>
    </w:pPr>
    <w:rPr>
      <w:rFonts w:ascii="Calibri" w:eastAsia="SimSun" w:hAnsi="Calibri" w:cs="Arial"/>
      <w:color w:val="00000A"/>
      <w:kern w:val="1"/>
      <w:sz w:val="22"/>
      <w:szCs w:val="22"/>
      <w:lang w:val="ru-RU" w:eastAsia="en-US" w:bidi="ar-SA"/>
    </w:rPr>
  </w:style>
  <w:style w:type="paragraph" w:styleId="NormalWeb">
    <w:name w:val="Normal (Web)"/>
    <w:basedOn w:val="Normal"/>
    <w:rsid w:val="004E6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qFormat/>
    <w:rsid w:val="004E6868"/>
    <w:rPr>
      <w:rFonts w:cs="Times New Roman"/>
      <w:b/>
      <w:bCs/>
    </w:rPr>
  </w:style>
  <w:style w:type="paragraph" w:styleId="BodyText">
    <w:name w:val="Body Text"/>
    <w:basedOn w:val="Normal"/>
    <w:link w:val="13"/>
    <w:rsid w:val="004E6868"/>
    <w:pPr>
      <w:spacing w:after="120" w:line="276" w:lineRule="auto"/>
    </w:pPr>
    <w:rPr>
      <w:lang w:val="ru-RU"/>
    </w:rPr>
  </w:style>
  <w:style w:type="character" w:customStyle="1" w:styleId="13">
    <w:name w:val="Знак Знак1"/>
    <w:basedOn w:val="DefaultParagraphFont"/>
    <w:link w:val="BodyText"/>
    <w:locked/>
    <w:rsid w:val="004E6868"/>
    <w:rPr>
      <w:rFonts w:ascii="Calibri" w:hAnsi="Calibri"/>
      <w:sz w:val="22"/>
      <w:szCs w:val="22"/>
      <w:lang w:val="ru-RU" w:eastAsia="en-US" w:bidi="ar-SA"/>
    </w:rPr>
  </w:style>
  <w:style w:type="character" w:customStyle="1" w:styleId="2">
    <w:name w:val="Основной текст (2)"/>
    <w:rsid w:val="004E68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</TotalTime>
  <Pages>1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Сергійчук</dc:creator>
  <cp:lastModifiedBy>Сергійчук</cp:lastModifiedBy>
  <cp:revision>5</cp:revision>
  <dcterms:created xsi:type="dcterms:W3CDTF">2024-01-24T11:58:00Z</dcterms:created>
  <dcterms:modified xsi:type="dcterms:W3CDTF">2024-05-20T09:17:00Z</dcterms:modified>
</cp:coreProperties>
</file>