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</w:t>
      </w:r>
      <w:r>
        <w:rPr/>
        <w:t>захисту населення Рівненської</w:t>
      </w:r>
    </w:p>
    <w:p>
      <w:pPr>
        <w:pStyle w:val="Normal"/>
        <w:jc w:val="center"/>
        <w:rPr/>
      </w:pPr>
      <w:r>
        <w:rPr/>
        <w:t xml:space="preserve">                                                             </w:t>
      </w:r>
      <w:r>
        <w:rPr/>
        <w:t>райдержадміністрації</w:t>
      </w:r>
    </w:p>
    <w:p>
      <w:pPr>
        <w:pStyle w:val="Normal"/>
        <w:rPr>
          <w:b/>
          <w:sz w:val="26"/>
          <w:szCs w:val="26"/>
          <w:lang w:eastAsia="uk-UA"/>
        </w:rPr>
      </w:pPr>
      <w:r>
        <w:rPr/>
        <w:t xml:space="preserve">                                                                                </w:t>
      </w:r>
      <w:r>
        <w:rPr/>
        <w:t xml:space="preserve">14 листопада 2023 року № 27 </w:t>
      </w:r>
    </w:p>
    <w:p>
      <w:pPr>
        <w:pStyle w:val="Normal"/>
        <w:rPr>
          <w:b/>
          <w:sz w:val="26"/>
          <w:szCs w:val="26"/>
          <w:lang w:eastAsia="uk-UA"/>
        </w:rPr>
      </w:pPr>
      <w:r>
        <w:rPr>
          <w:b/>
          <w:sz w:val="26"/>
          <w:szCs w:val="26"/>
          <w:lang w:eastAsia="uk-UA"/>
        </w:rPr>
      </w:r>
    </w:p>
    <w:p>
      <w:pPr>
        <w:pStyle w:val="Normal"/>
        <w:tabs>
          <w:tab w:val="clear" w:pos="709"/>
          <w:tab w:val="left" w:pos="3969" w:leader="none"/>
        </w:tabs>
        <w:jc w:val="center"/>
        <w:rPr>
          <w:b/>
          <w:sz w:val="24"/>
          <w:szCs w:val="24"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Style19"/>
        <w:spacing w:before="0" w:after="0"/>
        <w:jc w:val="center"/>
        <w:rPr>
          <w:b/>
          <w:color w:val="000000"/>
        </w:rPr>
      </w:pPr>
      <w:r>
        <w:rPr>
          <w:b/>
          <w:bCs/>
        </w:rPr>
        <w:t>«</w:t>
      </w:r>
      <w:r>
        <w:rPr>
          <w:b/>
          <w:bCs/>
          <w:caps/>
        </w:rPr>
        <w:t xml:space="preserve">ЗАБЕЗПЕЧЕННЯ направлення на комплексну реабілітацію </w:t>
      </w:r>
      <w:r>
        <w:rPr>
          <w:b/>
          <w:bCs/>
          <w:caps/>
          <w:color w:val="000000"/>
        </w:rPr>
        <w:t xml:space="preserve">(абілітацію) осіб з інвалідністю, дітей з інвалідністю, дітей віком до трьох років (включно), які належать до групи ризику щодо отримання інвалідності, </w:t>
      </w:r>
      <w:r>
        <w:rPr>
          <w:b/>
          <w:bCs/>
          <w:color w:val="000000"/>
        </w:rPr>
        <w:t>ДО</w:t>
      </w:r>
      <w:r>
        <w:rPr>
          <w:b/>
          <w:color w:val="000000"/>
        </w:rPr>
        <w:t xml:space="preserve"> ДЕРЖАВНОЇ РЕАБІЛІТАЦІЙНОЇ УСТАНОВИ, ЩО НАЛЕЖИТЬ ДО СФЕРИ УПРАВЛІННЯ МІНСОЦПОЛІТИКИ»</w:t>
      </w:r>
    </w:p>
    <w:p>
      <w:pPr>
        <w:pStyle w:val="Style19"/>
        <w:spacing w:before="0" w:after="0"/>
        <w:jc w:val="center"/>
        <w:rPr>
          <w:b/>
          <w:bCs/>
          <w:caps/>
          <w:color w:val="000000"/>
          <w:sz w:val="16"/>
          <w:szCs w:val="16"/>
        </w:rPr>
      </w:pPr>
      <w:r>
        <w:rPr>
          <w:b/>
          <w:bCs/>
          <w:caps/>
          <w:color w:val="000000"/>
          <w:sz w:val="16"/>
          <w:szCs w:val="16"/>
        </w:rPr>
      </w:r>
    </w:p>
    <w:p>
      <w:pPr>
        <w:pStyle w:val="HTML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Рівненської районної державної адміністрації Рівненської області </w:t>
      </w:r>
    </w:p>
    <w:p>
      <w:pPr>
        <w:pStyle w:val="Normal"/>
        <w:rPr>
          <w:b/>
          <w:sz w:val="20"/>
          <w:szCs w:val="20"/>
          <w:lang w:eastAsia="uk-UA"/>
        </w:rPr>
      </w:pPr>
      <w:r>
        <w:rPr>
          <w:b/>
          <w:sz w:val="20"/>
          <w:szCs w:val="20"/>
          <w:lang w:eastAsia="uk-UA"/>
        </w:rPr>
      </w:r>
    </w:p>
    <w:tbl>
      <w:tblPr>
        <w:tblW w:w="4950" w:type="pct"/>
        <w:jc w:val="left"/>
        <w:tblInd w:w="45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88"/>
        <w:gridCol w:w="3735"/>
        <w:gridCol w:w="2413"/>
        <w:gridCol w:w="869"/>
        <w:gridCol w:w="1808"/>
        <w:gridCol w:w="28"/>
      </w:tblGrid>
      <w:tr>
        <w:trPr/>
        <w:tc>
          <w:tcPr>
            <w:tcW w:w="9513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>
            <w:pPr>
              <w:pStyle w:val="Normal"/>
              <w:jc w:val="center"/>
              <w:rPr>
                <w:b/>
                <w:color w:val="000000"/>
                <w:sz w:val="24"/>
                <w:szCs w:val="24"/>
                <w:lang w:eastAsia="uk-UA"/>
              </w:rPr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/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snapToGrid w:val="false"/>
              <w:ind w:left="2" w:right="34"/>
              <w:jc w:val="both"/>
              <w:rPr/>
            </w:pPr>
            <w:r>
              <w:rPr>
                <w:rFonts w:cs="Times New Roman" w:ascii="Times New Roman" w:hAnsi="Times New Roman"/>
                <w:lang w:val="uk-UA"/>
              </w:rPr>
              <w:t xml:space="preserve">Заповнення заяви для забезпечення направлення до реабілітаційної установи з надання реабілітаційних послуг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Заявник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/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snapToGrid w:val="false"/>
              <w:ind w:firstLine="2" w:left="2" w:right="3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поданого пакету документів, формування особової справи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Адміністратор ЦНАП або ВРМ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/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snapToGrid w:val="false"/>
              <w:ind w:firstLine="2" w:left="2" w:right="3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Повідомлення замовника про орієнтовний термін виконання, внесення даних в програму для ведення статистики та контролю адміністративних послуг, видача опису документів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Адміністратор ЦНАП або ВРМ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snapToGrid w:val="false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/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snapToGrid w:val="false"/>
              <w:ind w:firstLine="2" w:left="2" w:right="3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Підготовка реєстрів для передачі справ у відділ  пільг та персоніфікованого обліку управління соціального захисту населення Рівненської РДА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Адміністратор ЦНАП або ВРМ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snapToGrid w:val="false"/>
              <w:ind w:right="-108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/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snapToGrid w:val="false"/>
              <w:ind w:left="2" w:right="3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заяв, документів засвідчених підписом адміністратора у відділ  пільг та персоніфікованого обліку управління соціального захисту населення Рівненської РДА(далі – УСЗН) </w:t>
            </w:r>
          </w:p>
          <w:p>
            <w:pPr>
              <w:pStyle w:val="Standard"/>
              <w:snapToGrid w:val="false"/>
              <w:ind w:left="2" w:right="3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  <w:p>
            <w:pPr>
              <w:pStyle w:val="Standard"/>
              <w:snapToGrid w:val="false"/>
              <w:ind w:left="2" w:right="3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Адміністратор ЦНАП або ВРМ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Нач. відділу  пільг та персоніфікованого обліку управління соціального захисту населення (далі – УСЗН)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Згідно затвердженого графіка передачі</w:t>
            </w:r>
          </w:p>
        </w:tc>
      </w:tr>
      <w:tr>
        <w:trPr/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rStyle w:val="Strong"/>
                <w:b w:val="false"/>
                <w:sz w:val="24"/>
                <w:szCs w:val="24"/>
              </w:rPr>
              <w:t xml:space="preserve">Передача пакету документів заявника до спеціалістів  управління соціального захисту населення Рівненської РДА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pacing w:val="-6"/>
                <w:sz w:val="24"/>
                <w:szCs w:val="24"/>
              </w:rPr>
              <w:t>Адміністратор ЦНАПу або ВРМ,</w:t>
            </w:r>
          </w:p>
          <w:p>
            <w:pPr>
              <w:pStyle w:val="Normal"/>
              <w:jc w:val="center"/>
              <w:rPr>
                <w:rStyle w:val="21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 відділу  пільг та персоніфікованого обліку управління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В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andard"/>
              <w:snapToGrid w:val="false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Згідно графіка передачі документів</w:t>
            </w:r>
          </w:p>
        </w:tc>
      </w:tr>
      <w:tr>
        <w:trPr>
          <w:trHeight w:val="1237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  <w:p>
            <w:pPr>
              <w:pStyle w:val="12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2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2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BodyText"/>
              <w:spacing w:lineRule="auto" w:line="240" w:before="0" w:after="120"/>
              <w:ind w:left="72" w:right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Головний спеціаліст відділу  пільг та персоніфікованого обліку управління соціального захисту населення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>
        <w:trPr/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19"/>
              <w:spacing w:before="0" w:after="0"/>
              <w:jc w:val="both"/>
              <w:rPr>
                <w:bCs/>
                <w:color w:val="000000"/>
              </w:rPr>
            </w:pPr>
            <w:r>
              <w:rPr>
                <w:lang w:eastAsia="ar-SA"/>
              </w:rPr>
              <w:t xml:space="preserve">Направлення гарантійного листа  </w:t>
            </w:r>
            <w:r>
              <w:rPr/>
              <w:t>до реабілітаційної установи з надання реабілітаційних послуг</w:t>
            </w:r>
          </w:p>
          <w:p>
            <w:pPr>
              <w:pStyle w:val="Style19"/>
              <w:spacing w:before="0"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Головний спеціаліст відділу  пільг та персоніфікованого обліку УСЗН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>
        <w:trPr>
          <w:trHeight w:val="861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120"/>
              <w:ind w:left="72" w:right="0"/>
              <w:rPr/>
            </w:pPr>
            <w:r>
              <w:rPr>
                <w:sz w:val="24"/>
                <w:szCs w:val="24"/>
                <w:lang w:eastAsia="ar-SA"/>
              </w:rPr>
              <w:t>Формування  договору</w:t>
            </w:r>
            <w:r>
              <w:rPr>
                <w:sz w:val="24"/>
                <w:szCs w:val="24"/>
              </w:rPr>
              <w:t xml:space="preserve">  до реабілітаційної установи з надання реабілітаційних послуг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Головний спеціаліст відділу  пільг та персоніфікованого обліку УСЗН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>
        <w:trPr>
          <w:trHeight w:val="861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120"/>
              <w:ind w:left="72" w:righ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Підпис договору </w:t>
            </w:r>
            <w:r>
              <w:rPr>
                <w:sz w:val="24"/>
                <w:szCs w:val="24"/>
              </w:rPr>
              <w:t>на надання реабілітаційних послуг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Начальник   управління соціального захисту населення Рівненської РДА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napToGrid w:val="false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napToGrid w:val="false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trHeight w:val="861" w:hRule="atLeast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120"/>
              <w:ind w:left="72" w:right="0"/>
              <w:rPr/>
            </w:pPr>
            <w:r>
              <w:rPr>
                <w:sz w:val="24"/>
                <w:szCs w:val="24"/>
                <w:lang w:eastAsia="ar-SA"/>
              </w:rPr>
              <w:t>Повернення акту</w:t>
            </w:r>
            <w:r>
              <w:rPr>
                <w:sz w:val="24"/>
                <w:szCs w:val="24"/>
              </w:rPr>
              <w:t xml:space="preserve"> з надання реабілітаційних послуг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Головний спеціаліст відділу  пільг та персоніфікованого обліку УСЗН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napToGrid w:val="false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napToGrid w:val="false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autoSpaceDE w:val="false"/>
              <w:spacing w:before="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120"/>
              <w:rPr>
                <w:color w:val="000000"/>
                <w:sz w:val="24"/>
                <w:szCs w:val="24"/>
              </w:rPr>
            </w:pPr>
            <w:r>
              <w:rPr>
                <w:color w:val="252121"/>
                <w:sz w:val="24"/>
                <w:szCs w:val="24"/>
              </w:rPr>
              <w:t>Перерахування коштів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spacing w:before="0" w:after="12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Спеціаліст відділу бухгалтерського обліку та звітності УСЗН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2"/>
              <w:spacing w:lineRule="auto" w:line="240" w:before="0"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 дня</w:t>
            </w:r>
          </w:p>
        </w:tc>
      </w:tr>
      <w:tr>
        <w:trPr/>
        <w:tc>
          <w:tcPr>
            <w:tcW w:w="7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ind w:right="4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кількість днів надання послуг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napToGrid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>
        <w:trPr/>
        <w:tc>
          <w:tcPr>
            <w:tcW w:w="7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ind w:right="4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2"/>
              <w:snapToGrid w:val="false"/>
              <w:spacing w:lineRule="auto" w:line="240" w:before="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TML"/>
        <w:shd w:fill="FFFFFF" w:val="clear"/>
        <w:jc w:val="both"/>
        <w:textAlignment w:val="baseline"/>
        <w:rPr>
          <w:rFonts w:ascii="Times New Roman" w:hAnsi="Times New Roman" w:cs="Times New Roman"/>
          <w:color w:val="000000"/>
          <w:lang w:val="uk-UA" w:eastAsia="uk-UA"/>
        </w:rPr>
      </w:pPr>
      <w:r>
        <w:rPr>
          <w:rFonts w:cs="Times New Roman" w:ascii="Times New Roman" w:hAnsi="Times New Roman"/>
          <w:color w:val="000000"/>
          <w:lang w:val="uk-UA" w:eastAsia="uk-UA"/>
        </w:rPr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426" w:top="851" w:footer="0" w:bottom="1134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Verdana">
    <w:charset w:val="cc"/>
    <w:family w:val="swiss"/>
    <w:pitch w:val="variable"/>
  </w:font>
  <w:font w:name="Liberation Serif">
    <w:altName w:val="Times New Roman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2</w:t>
    </w:r>
    <w:r>
      <w:rPr>
        <w:sz w:val="24"/>
        <w:szCs w:val="24"/>
      </w:rPr>
      <w:fldChar w:fldCharType="end"/>
    </w:r>
  </w:p>
  <w:p>
    <w:pPr>
      <w:pStyle w:val="Header"/>
      <w:rPr>
        <w:sz w:val="24"/>
        <w:szCs w:val="24"/>
      </w:rPr>
    </w:pPr>
    <w:r>
      <w:rPr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uk-UA" w:bidi="ar-SA" w:eastAsia="zh-CN"/>
    </w:rPr>
  </w:style>
  <w:style w:type="character" w:styleId="WW8Num1z0">
    <w:name w:val="WW8Num1z0"/>
    <w:qFormat/>
    <w:rPr>
      <w:rFonts w:cs="Times New Roman"/>
      <w:color w:val="000000"/>
    </w:rPr>
  </w:style>
  <w:style w:type="character" w:styleId="WW8Num1z1">
    <w:name w:val="WW8Num1z1"/>
    <w:qFormat/>
    <w:rPr>
      <w:rFonts w:cs="Times New Roman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eastAsia="Times New Roman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2">
    <w:name w:val=" Знак Знак2"/>
    <w:qFormat/>
    <w:rPr>
      <w:rFonts w:ascii="Times New Roman" w:hAnsi="Times New Roman" w:cs="Times New Roman"/>
      <w:sz w:val="28"/>
      <w:szCs w:val="28"/>
    </w:rPr>
  </w:style>
  <w:style w:type="character" w:styleId="1">
    <w:name w:val=" Знак Знак1"/>
    <w:qFormat/>
    <w:rPr>
      <w:rFonts w:ascii="Tahoma" w:hAnsi="Tahoma" w:cs="Tahoma"/>
      <w:sz w:val="16"/>
      <w:szCs w:val="16"/>
    </w:rPr>
  </w:style>
  <w:style w:type="character" w:styleId="Style15">
    <w:name w:val="Знак Знак"/>
    <w:qFormat/>
    <w:rPr>
      <w:rFonts w:ascii="Courier New" w:hAnsi="Courier New" w:cs="Courier New"/>
      <w:sz w:val="24"/>
      <w:szCs w:val="24"/>
      <w:lang w:val="ru-RU"/>
    </w:rPr>
  </w:style>
  <w:style w:type="character" w:styleId="Style16">
    <w:name w:val=" Знак Знак"/>
    <w:qFormat/>
    <w:rPr>
      <w:rFonts w:ascii="Times New Roman" w:hAnsi="Times New Roman" w:cs="Times New Roman"/>
      <w:sz w:val="28"/>
      <w:szCs w:val="28"/>
    </w:rPr>
  </w:style>
  <w:style w:type="character" w:styleId="Rvts37">
    <w:name w:val="rvts37"/>
    <w:qFormat/>
    <w:rPr>
      <w:rFonts w:cs="Times New Roman"/>
    </w:rPr>
  </w:style>
  <w:style w:type="character" w:styleId="Apple-converted-space">
    <w:name w:val="apple-converted-space"/>
    <w:qFormat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Rvts46">
    <w:name w:val="rvts46"/>
    <w:qFormat/>
    <w:rPr>
      <w:rFonts w:cs="Times New Roman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basedOn w:val="Style14"/>
    <w:qFormat/>
    <w:rPr>
      <w:rFonts w:cs="Times New Roman"/>
      <w:b/>
      <w:bCs/>
    </w:rPr>
  </w:style>
  <w:style w:type="character" w:styleId="11">
    <w:name w:val="Знак Знак1"/>
    <w:basedOn w:val="Style14"/>
    <w:qFormat/>
    <w:rPr>
      <w:rFonts w:ascii="Calibri" w:hAnsi="Calibri" w:cs="Calibri"/>
      <w:sz w:val="22"/>
      <w:szCs w:val="22"/>
      <w:lang w:val="ru-RU" w:bidi="ar-SA"/>
    </w:rPr>
  </w:style>
  <w:style w:type="character" w:styleId="21">
    <w:name w:val="Основной текст (2)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20"/>
      <w:jc w:val="left"/>
    </w:pPr>
    <w:rPr>
      <w:rFonts w:ascii="Calibri" w:hAnsi="Calibri" w:cs="Calibri"/>
      <w:sz w:val="22"/>
      <w:szCs w:val="22"/>
      <w:lang w:val="ru-RU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7">
    <w:name w:val="Абзац списку"/>
    <w:basedOn w:val="Normal"/>
    <w:qFormat/>
    <w:pPr>
      <w:spacing w:before="0" w:after="0"/>
      <w:ind w:hanging="0" w:left="720" w:right="0"/>
      <w:contextualSpacing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</w:pPr>
    <w:rPr>
      <w:rFonts w:ascii="Courier New" w:hAnsi="Courier New" w:cs="Courier New"/>
      <w:sz w:val="24"/>
      <w:szCs w:val="24"/>
      <w:lang w:val="ru-RU"/>
    </w:rPr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19">
    <w:name w:val="Обычный (веб)"/>
    <w:basedOn w:val="Normal"/>
    <w:qFormat/>
    <w:pPr>
      <w:spacing w:before="280" w:after="280"/>
      <w:jc w:val="left"/>
    </w:pPr>
    <w:rPr>
      <w:sz w:val="24"/>
      <w:szCs w:val="24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"/>
    <w:basedOn w:val="Normal"/>
    <w:qFormat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Rvps2">
    <w:name w:val="rvps2"/>
    <w:basedOn w:val="Normal"/>
    <w:qFormat/>
    <w:pPr>
      <w:spacing w:before="280" w:after="280"/>
      <w:jc w:val="left"/>
    </w:pPr>
    <w:rPr>
      <w:sz w:val="24"/>
      <w:szCs w:val="24"/>
      <w:lang w:val="ru-RU"/>
    </w:rPr>
  </w:style>
  <w:style w:type="paragraph" w:styleId="Standard">
    <w:name w:val="Standard"/>
    <w:qFormat/>
    <w:pPr>
      <w:widowControl/>
      <w:suppressAutoHyphens w:val="true"/>
      <w:bidi w:val="0"/>
      <w:textAlignment w:val="baseline"/>
    </w:pPr>
    <w:rPr>
      <w:rFonts w:ascii="Liberation Serif;Times New Roman" w:hAnsi="Liberation Serif;Times New Roman" w:eastAsia="SimSun;宋体" w:cs="Mangal"/>
      <w:color w:val="auto"/>
      <w:kern w:val="2"/>
      <w:sz w:val="24"/>
      <w:szCs w:val="24"/>
      <w:lang w:val="en-US" w:eastAsia="zh-CN" w:bidi="hi-IN"/>
    </w:rPr>
  </w:style>
  <w:style w:type="paragraph" w:styleId="12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</w:pPr>
    <w:rPr>
      <w:rFonts w:ascii="Calibri" w:hAnsi="Calibri" w:eastAsia="SimSun;宋体" w:cs="Arial"/>
      <w:color w:val="00000A"/>
      <w:kern w:val="2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2024-01-22T12:58:00Z</dcterms:created>
  <dc:creator>Оксана Горбаченко</dc:creator>
  <dc:description/>
  <cp:keywords/>
  <dc:language>en-US</dc:language>
  <cp:lastModifiedBy>Сергійчук</cp:lastModifiedBy>
  <cp:lastPrinted>2022-01-28T14:49:00Z</cp:lastPrinted>
  <dcterms:modified xsi:type="dcterms:W3CDTF">2024-05-20T11:13:00Z</dcterms:modified>
  <cp:revision>8</cp:revision>
  <dc:subject/>
  <dc:title>                                                                                 ЗАТВЕРДЖЕНО                                                      </dc:title>
</cp:coreProperties>
</file>