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sz w:val="24"/>
          <w:szCs w:val="26"/>
          <w:lang w:eastAsia="uk-UA"/>
        </w:rPr>
        <w:t xml:space="preserve">                            </w:t>
      </w:r>
      <w:r>
        <w:rPr>
          <w:b/>
        </w:rPr>
        <w:t xml:space="preserve">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jc w:val="center"/>
        <w:rPr>
          <w:b/>
          <w:sz w:val="24"/>
          <w:szCs w:val="26"/>
          <w:lang w:eastAsia="uk-UA"/>
        </w:rPr>
      </w:pPr>
      <w:r>
        <w:rPr/>
        <w:t xml:space="preserve">                                                                           </w:t>
      </w:r>
      <w:r>
        <w:rPr/>
        <w:t xml:space="preserve">14 листопада 2023 року № 27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6"/>
          <w:lang w:eastAsia="uk-UA"/>
        </w:rPr>
        <w:t xml:space="preserve"> </w:t>
      </w:r>
    </w:p>
    <w:p>
      <w:pPr>
        <w:pStyle w:val="Normal"/>
        <w:jc w:val="center"/>
        <w:rPr>
          <w:b/>
          <w:sz w:val="24"/>
          <w:szCs w:val="26"/>
          <w:lang w:eastAsia="uk-UA"/>
        </w:rPr>
      </w:pPr>
      <w:r>
        <w:rPr>
          <w:b/>
          <w:sz w:val="24"/>
          <w:szCs w:val="26"/>
          <w:lang w:eastAsia="uk-UA"/>
        </w:rPr>
      </w:r>
    </w:p>
    <w:p>
      <w:pPr>
        <w:pStyle w:val="Normal"/>
        <w:jc w:val="center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Style19"/>
        <w:spacing w:before="0" w:after="0"/>
        <w:jc w:val="center"/>
        <w:rPr>
          <w:b/>
        </w:rPr>
      </w:pPr>
      <w:r>
        <w:rPr>
          <w:b/>
          <w:bCs/>
        </w:rPr>
        <w:t>«ПРИЗНАЧЕННЯ ГРОШОВ</w:t>
      </w:r>
      <w:r>
        <w:rPr>
          <w:b/>
          <w:bCs/>
          <w:lang w:val="ru-RU"/>
        </w:rPr>
        <w:t>ИХ</w:t>
      </w:r>
      <w:r>
        <w:rPr>
          <w:b/>
          <w:bCs/>
        </w:rPr>
        <w:t xml:space="preserve"> КОМПЕНСАЦІ</w:t>
      </w:r>
      <w:r>
        <w:rPr>
          <w:b/>
          <w:bCs/>
          <w:lang w:val="ru-RU"/>
        </w:rPr>
        <w:t>Й</w:t>
      </w:r>
      <w:r>
        <w:rPr>
          <w:b/>
          <w:bCs/>
          <w:color w:val="00B050"/>
          <w:lang w:val="ru-RU"/>
        </w:rPr>
        <w:t xml:space="preserve"> </w:t>
      </w:r>
      <w:r>
        <w:rPr>
          <w:b/>
          <w:bCs/>
        </w:rPr>
        <w:t>ОСОБАМ З ІНВАЛІДНІСТЮ НА БЕНЗИН, РЕМОНТ І ТЕХНІЧНЕ ОБСЛУГОВУВАННЯ АВТОМОБІЛІВ                ТА НА ТРАНСПОРТНЕ ОБСЛУГОВУВАННЯ</w:t>
      </w:r>
      <w:r>
        <w:rPr>
          <w:b/>
        </w:rPr>
        <w:t>»</w:t>
      </w:r>
    </w:p>
    <w:p>
      <w:pPr>
        <w:pStyle w:val="Style19"/>
        <w:spacing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rPr>
          <w:b/>
          <w:sz w:val="20"/>
          <w:szCs w:val="20"/>
          <w:lang w:eastAsia="uk-UA"/>
        </w:rPr>
      </w:pPr>
      <w:r>
        <w:rPr>
          <w:b/>
          <w:sz w:val="20"/>
          <w:szCs w:val="20"/>
          <w:lang w:eastAsia="uk-UA"/>
        </w:rPr>
      </w:r>
    </w:p>
    <w:tbl>
      <w:tblPr>
        <w:tblW w:w="5000" w:type="pct"/>
        <w:jc w:val="left"/>
        <w:tblInd w:w="-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602"/>
        <w:gridCol w:w="3029"/>
        <w:gridCol w:w="2997"/>
        <w:gridCol w:w="685"/>
        <w:gridCol w:w="2230"/>
        <w:gridCol w:w="47"/>
      </w:tblGrid>
      <w:tr>
        <w:trPr/>
        <w:tc>
          <w:tcPr>
            <w:tcW w:w="48" w:type="dxa"/>
            <w:tcBorders/>
          </w:tcPr>
          <w:p>
            <w:pPr>
              <w:pStyle w:val="TableHeading"/>
              <w:rPr/>
            </w:pPr>
            <w:r>
              <w:rPr/>
            </w:r>
          </w:p>
        </w:tc>
        <w:tc>
          <w:tcPr>
            <w:tcW w:w="954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</w:t>
            </w:r>
          </w:p>
        </w:tc>
        <w:tc>
          <w:tcPr>
            <w:tcW w:w="47" w:type="dxa"/>
            <w:tcBorders/>
          </w:tcPr>
          <w:p>
            <w:pPr>
              <w:pStyle w:val="Normal"/>
              <w:snapToGrid w:val="false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</w:r>
          </w:p>
        </w:tc>
      </w:tr>
      <w:tr>
        <w:trPr>
          <w:trHeight w:val="79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52" w:before="0" w:after="16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52" w:before="0" w:after="160"/>
              <w:ind w:left="72" w:right="0"/>
              <w:rPr>
                <w:sz w:val="24"/>
                <w:szCs w:val="24"/>
                <w:lang w:val="ru-RU" w:eastAsia="ar-SA"/>
              </w:rPr>
            </w:pPr>
            <w:r>
              <w:rPr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52" w:before="0" w:after="16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19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52" w:before="0" w:after="16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yle19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9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  <w:p>
            <w:pPr>
              <w:pStyle w:val="Normal"/>
              <w:spacing w:lineRule="auto" w:line="252" w:before="0" w:after="16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Опрацювання заяв спеціалістами відділу пільг та персоніфікованого обліку УСЗН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Візування рішень про призначення або відмову у призначенні грошової компенсації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Затвердження прийнятого рішення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Начальник, заступник начальника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дев’ятого- десятого дня</w:t>
            </w:r>
          </w:p>
        </w:tc>
      </w:tr>
      <w:tr>
        <w:trPr/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rPr/>
            </w:pPr>
            <w:r>
              <w:rPr>
                <w:rFonts w:cs="Arial"/>
                <w:color w:val="000000"/>
                <w:kern w:val="2"/>
                <w:sz w:val="24"/>
                <w:lang w:val="ru-RU"/>
              </w:rPr>
              <w:t>Реєстрація рішення про призначення компенсації (або відмови у її призначенні)/ повідомлення про призначення компенсації (або відмови у її призначенні)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rPr>
                <w:rFonts w:cs="Arial"/>
                <w:color w:val="00000A"/>
                <w:kern w:val="2"/>
                <w:sz w:val="24"/>
                <w:lang w:val="ru-RU"/>
              </w:rPr>
            </w:pPr>
            <w:r>
              <w:rPr>
                <w:sz w:val="24"/>
              </w:rPr>
              <w:t xml:space="preserve">Головний спеціаліст  </w:t>
            </w:r>
            <w:r>
              <w:rPr>
                <w:sz w:val="24"/>
                <w:szCs w:val="24"/>
              </w:rPr>
              <w:t>відділу 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десятого дня</w:t>
            </w:r>
          </w:p>
        </w:tc>
      </w:tr>
      <w:tr>
        <w:trPr>
          <w:trHeight w:val="840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Відділ виплати соціальних допомог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5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  <w:t>Перевірка правильності нарахування компенсації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Відділ виплати соціальних допомог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ind w:firstLine="72" w:righ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91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color w:val="00000A"/>
                <w:kern w:val="2"/>
                <w:lang w:val="uk-UA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  <w:t>Фіксація нарахованої компенсації в електронному варіанті</w:t>
            </w:r>
          </w:p>
          <w:p>
            <w:pPr>
              <w:pStyle w:val="HTML"/>
              <w:ind w:left="72" w:right="0"/>
              <w:rPr>
                <w:rFonts w:ascii="Times New Roman" w:hAnsi="Times New Roman" w:cs="Times New Roman"/>
                <w:color w:val="00000A"/>
                <w:kern w:val="2"/>
                <w:lang w:val="uk-UA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Відділ виплати соціальних допомог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19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color w:val="00000A"/>
                <w:kern w:val="2"/>
                <w:lang w:val="uk-UA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  <w:t xml:space="preserve">Передача електронних справ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4"/>
                <w:szCs w:val="24"/>
              </w:rPr>
            </w:pPr>
            <w:r>
              <w:rPr>
                <w:rFonts w:cs="Arial"/>
                <w:color w:val="00000A"/>
                <w:kern w:val="2"/>
                <w:sz w:val="22"/>
                <w:szCs w:val="22"/>
              </w:rPr>
              <w:t>Центру по нарахуванню та здійсненню соціальних виплат департаменту соціального захисту населення Рівненської обласної державної адміністрації (далі Центр по нарахуванню та здійсненню виплат ДРАПС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25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  <w:t>Формування виплатних відомостей в установи банків та поштові відділення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color w:val="00000A"/>
                <w:kern w:val="2"/>
                <w:sz w:val="22"/>
                <w:szCs w:val="22"/>
              </w:rPr>
              <w:t>Спеціалісти Центру по нарахуванню та здійсненню соціальних виплат департаменту соціального захисту населення Рівненської обласної державної адміністрації (далі Центр по нарахуванню та здійсненню виплат ДРАПС)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rPr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10" w:hRule="atLeast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ind w:left="72" w:right="0"/>
              <w:jc w:val="both"/>
              <w:rPr>
                <w:rFonts w:ascii="Times New Roman" w:hAnsi="Times New Roman" w:cs="Times New Roman"/>
                <w:color w:val="00000A"/>
                <w:kern w:val="2"/>
                <w:lang w:val="uk-UA"/>
              </w:rPr>
            </w:pPr>
            <w:r>
              <w:rPr>
                <w:rFonts w:cs="Times New Roman" w:ascii="Times New Roman" w:hAnsi="Times New Roman"/>
                <w:color w:val="00000A"/>
                <w:kern w:val="2"/>
                <w:lang w:val="uk-UA"/>
              </w:rPr>
              <w:t>Зарахування коштів установами банків на рахунки одержувачів компенсації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rPr/>
            </w:pPr>
            <w:r>
              <w:rPr>
                <w:color w:val="00000A"/>
                <w:kern w:val="2"/>
                <w:sz w:val="24"/>
              </w:rPr>
              <w:t xml:space="preserve">Спеціаліст </w:t>
            </w:r>
            <w:r>
              <w:rPr>
                <w:sz w:val="24"/>
              </w:rPr>
              <w:t xml:space="preserve"> відділу бухгалтерського обліку та відомчого контролю </w:t>
            </w:r>
            <w:r>
              <w:rPr>
                <w:rFonts w:cs="Arial"/>
                <w:color w:val="00000A"/>
                <w:kern w:val="2"/>
                <w:sz w:val="24"/>
              </w:rPr>
              <w:t>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ind w:firstLine="72" w:right="0"/>
              <w:rPr>
                <w:rFonts w:cs="Arial"/>
                <w:color w:val="000000"/>
                <w:kern w:val="2"/>
                <w:sz w:val="24"/>
                <w:lang w:eastAsia="ru-RU"/>
              </w:rPr>
            </w:pPr>
            <w:r>
              <w:rPr>
                <w:rFonts w:cs="Arial"/>
                <w:color w:val="000000"/>
                <w:kern w:val="2"/>
                <w:sz w:val="24"/>
                <w:lang w:eastAsia="ru-RU"/>
              </w:rPr>
              <w:t>В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ind w:right="-142"/>
              <w:rPr>
                <w:rFonts w:cs="Arial"/>
                <w:color w:val="00000A"/>
                <w:kern w:val="2"/>
                <w:sz w:val="24"/>
              </w:rPr>
            </w:pPr>
            <w:r>
              <w:rPr>
                <w:rFonts w:cs="Arial"/>
                <w:color w:val="00000A"/>
                <w:kern w:val="2"/>
                <w:sz w:val="24"/>
              </w:rPr>
              <w:t>Після надходження коштів з Державного бюджету</w:t>
            </w:r>
          </w:p>
        </w:tc>
      </w:tr>
      <w:tr>
        <w:trPr>
          <w:trHeight w:val="240" w:hRule="atLeast"/>
        </w:trPr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6379" w:right="0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ind w:left="6379" w:right="0"/>
        <w:rPr>
          <w:sz w:val="24"/>
        </w:rPr>
      </w:pPr>
      <w:r>
        <w:rPr>
          <w:sz w:val="24"/>
        </w:rPr>
      </w:r>
    </w:p>
    <w:p>
      <w:pPr>
        <w:pStyle w:val="Normal"/>
        <w:ind w:left="6379" w:right="0"/>
        <w:rPr>
          <w:sz w:val="24"/>
        </w:rPr>
      </w:pPr>
      <w:r>
        <w:rPr>
          <w:sz w:val="24"/>
        </w:rPr>
      </w:r>
    </w:p>
    <w:p>
      <w:pPr>
        <w:pStyle w:val="Normal"/>
        <w:ind w:left="6379" w:right="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3</w:t>
    </w:r>
    <w:r>
      <w:rPr>
        <w:sz w:val="24"/>
        <w:szCs w:val="24"/>
      </w:rPr>
      <w:fldChar w:fldCharType="end"/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uk-UA" w:bidi="ar-SA" w:eastAsia="zh-CN"/>
    </w:rPr>
  </w:style>
  <w:style w:type="character" w:styleId="WW8Num1z0">
    <w:name w:val="WW8Num1z0"/>
    <w:qFormat/>
    <w:rPr>
      <w:rFonts w:cs="Times New Roman"/>
      <w:color w:val="000000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 Знак Знак2"/>
    <w:qFormat/>
    <w:rPr>
      <w:rFonts w:ascii="Times New Roman" w:hAnsi="Times New Roman" w:cs="Times New Roman"/>
      <w:sz w:val="28"/>
      <w:szCs w:val="28"/>
    </w:rPr>
  </w:style>
  <w:style w:type="character" w:styleId="1">
    <w:name w:val=" Знак Знак1"/>
    <w:qFormat/>
    <w:rPr>
      <w:rFonts w:ascii="Tahoma" w:hAnsi="Tahoma" w:cs="Tahoma"/>
      <w:sz w:val="16"/>
      <w:szCs w:val="16"/>
    </w:rPr>
  </w:style>
  <w:style w:type="character" w:styleId="Style15">
    <w:name w:val="Знак Знак"/>
    <w:qFormat/>
    <w:rPr>
      <w:rFonts w:ascii="Courier New" w:hAnsi="Courier New" w:cs="Courier New"/>
      <w:sz w:val="24"/>
      <w:szCs w:val="24"/>
      <w:lang w:val="ru-RU"/>
    </w:rPr>
  </w:style>
  <w:style w:type="character" w:styleId="Style16">
    <w:name w:val=" Знак Знак"/>
    <w:qFormat/>
    <w:rPr>
      <w:rFonts w:ascii="Times New Roman" w:hAnsi="Times New Roman" w:cs="Times New Roman"/>
      <w:sz w:val="28"/>
      <w:szCs w:val="28"/>
    </w:rPr>
  </w:style>
  <w:style w:type="character" w:styleId="Rvts37">
    <w:name w:val="rvts37"/>
    <w:qFormat/>
    <w:rPr>
      <w:rFonts w:cs="Times New Roman"/>
    </w:rPr>
  </w:style>
  <w:style w:type="character" w:styleId="Apple-converted-space">
    <w:name w:val="apple-converted-space"/>
    <w:qFormat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Rvts46">
    <w:name w:val="rvts46"/>
    <w:qFormat/>
    <w:rPr>
      <w:rFonts w:cs="Times New Roman"/>
    </w:rPr>
  </w:style>
  <w:style w:type="character" w:styleId="Rvts0">
    <w:name w:val="rvts0"/>
    <w:qFormat/>
    <w:rPr/>
  </w:style>
  <w:style w:type="character" w:styleId="Emphasis">
    <w:name w:val="Emphasis"/>
    <w:qFormat/>
    <w:rPr>
      <w:i/>
      <w:iCs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  <w:jc w:val="left"/>
    </w:pPr>
    <w:rPr>
      <w:rFonts w:ascii="Calibri" w:hAnsi="Calibri" w:cs="Calibri"/>
      <w:sz w:val="22"/>
      <w:szCs w:val="22"/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Абзац списку"/>
    <w:basedOn w:val="Normal"/>
    <w:qFormat/>
    <w:pPr>
      <w:spacing w:before="0" w:after="0"/>
      <w:ind w:hanging="0" w:left="720" w:right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4"/>
      <w:szCs w:val="24"/>
      <w:lang w:val="ru-RU"/>
    </w:rPr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"/>
    <w:basedOn w:val="Normal"/>
    <w:qFormat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1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2024-01-22T12:14:00Z</dcterms:created>
  <dc:creator>Оксана Горбаченко</dc:creator>
  <dc:description/>
  <cp:keywords/>
  <dc:language>en-US</dc:language>
  <cp:lastModifiedBy>Сергійчук</cp:lastModifiedBy>
  <cp:lastPrinted>2019-05-03T15:48:00Z</cp:lastPrinted>
  <dcterms:modified xsi:type="dcterms:W3CDTF">2024-05-20T11:12:00Z</dcterms:modified>
  <cp:revision>6</cp:revision>
  <dc:subject/>
  <dc:title>                                                                                     ЗАТВЕРДЖЕНО                                                      </dc:title>
</cp:coreProperties>
</file>