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rPr>
          <w:b/>
          <w:sz w:val="16"/>
          <w:lang w:eastAsia="uk-UA"/>
        </w:rPr>
      </w:pPr>
      <w:r>
        <w:rPr>
          <w:b/>
          <w:sz w:val="16"/>
          <w:lang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sz w:val="16"/>
          <w:lang w:eastAsia="uk-UA"/>
        </w:rPr>
      </w:pPr>
      <w:r>
        <w:rPr>
          <w:b/>
          <w:sz w:val="1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bidi w:val="0"/>
        <w:ind w:hanging="0" w:left="0" w:right="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„</w:t>
      </w:r>
      <w:r>
        <w:rPr>
          <w:b/>
          <w:bCs/>
          <w:caps/>
          <w:sz w:val="24"/>
          <w:szCs w:val="24"/>
          <w:lang w:eastAsia="uk-UA"/>
        </w:rPr>
        <w:t>призначення грошової компенсації вартості самостійного санаторно-курортного лікування осіб з інвалідністю”</w:t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sz w:val="16"/>
          <w:szCs w:val="16"/>
          <w:lang w:val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708" w:type="dxa"/>
        <w:jc w:val="left"/>
        <w:tblInd w:w="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57"/>
        <w:gridCol w:w="3049"/>
        <w:gridCol w:w="3019"/>
        <w:gridCol w:w="689"/>
        <w:gridCol w:w="2294"/>
      </w:tblGrid>
      <w:tr>
        <w:trPr/>
        <w:tc>
          <w:tcPr>
            <w:tcW w:w="97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Опрацювання заяв спеціалістами відділу пільг та персоніфікованого обліку УСЗН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cs="Times New Roman"/>
                <w:lang w:val="uk-UA"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рішень про призначення або відмову у призначенні грошової компенсації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Реєстрація рішення про призначення грошової компенсації (або відмови у її призначенні) повідомлення про призначення (або відмови у її призначенні)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 xml:space="preserve">В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val="uk-UA" w:eastAsia="en-US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spacing w:lineRule="auto" w:line="252" w:before="0" w:after="160"/>
              <w:ind w:hanging="0" w:left="0" w:right="-142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52" w:before="0" w:after="16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 w:before="0" w:after="16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>
      <w:pPr>
        <w:pStyle w:val="Normal"/>
        <w:bidi w:val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hanging="0" w:left="0" w:right="0"/>
        <w:rPr/>
      </w:pPr>
      <w:r>
        <w:rPr>
          <w:i/>
          <w:sz w:val="24"/>
        </w:rPr>
        <w:t xml:space="preserve"> </w:t>
      </w:r>
    </w:p>
    <w:sectPr>
      <w:headerReference w:type="default" r:id="rId2"/>
      <w:type w:val="nextPage"/>
      <w:pgSz w:w="11906" w:h="16838"/>
      <w:pgMar w:left="1701" w:right="567" w:gutter="0" w:header="426" w:top="1134" w:footer="0" w:bottom="709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7">
    <w:name w:val="rvps7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2599</Words>
  <Characters>4073</Characters>
  <CharactersWithSpaces>1482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2024-01-22T12:20:00Z</dcterms:created>
  <dc:creator>Оксана Горбаченко</dc:creator>
  <dc:description/>
  <dc:language>en-US</dc:language>
  <cp:lastModifiedBy/>
  <cp:lastPrinted>2021-01-15T09:12:00Z</cp:lastPrinted>
  <dcterms:modified xsi:type="dcterms:W3CDTF">2024-05-20T12:12:00Z</dcterms:modified>
  <cp:revision>5</cp:revision>
  <dc:subject/>
  <dc:title>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