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eastAsia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b/>
          <w:sz w:val="28"/>
          <w:szCs w:val="28"/>
        </w:rPr>
        <w:t xml:space="preserve">ЗАТВЕРДЖЕНО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>Наказ управління соціального</w:t>
      </w:r>
    </w:p>
    <w:p>
      <w:pPr>
        <w:pStyle w:val="Normal"/>
        <w:jc w:val="center"/>
        <w:rPr/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захисту населення Рівненської</w:t>
      </w:r>
    </w:p>
    <w:p>
      <w:pPr>
        <w:pStyle w:val="Normal"/>
        <w:jc w:val="center"/>
        <w:rPr/>
      </w:pPr>
      <w:r>
        <w:rPr>
          <w:rFonts w:eastAsia="Times New Roman"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райдержадміністрації</w:t>
      </w:r>
    </w:p>
    <w:p>
      <w:pPr>
        <w:pStyle w:val="Normal"/>
        <w:jc w:val="center"/>
        <w:rPr>
          <w:b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>
        <w:rPr>
          <w:rFonts w:eastAsia="Times New Roman"/>
          <w:sz w:val="28"/>
          <w:szCs w:val="28"/>
          <w:lang w:val="uk-UA"/>
        </w:rPr>
        <w:t xml:space="preserve">                                                             </w:t>
      </w:r>
      <w:r>
        <w:rPr>
          <w:rFonts w:eastAsia="Times New Roman"/>
          <w:sz w:val="28"/>
          <w:szCs w:val="28"/>
        </w:rPr>
        <w:t xml:space="preserve">   </w:t>
      </w:r>
      <w:r>
        <w:rPr>
          <w:sz w:val="28"/>
          <w:szCs w:val="28"/>
        </w:rPr>
        <w:t xml:space="preserve">14 листопада 2023 року № 27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right="-229"/>
        <w:jc w:val="center"/>
        <w:rPr>
          <w:b/>
          <w:szCs w:val="28"/>
          <w:lang w:val="uk-UA"/>
        </w:rPr>
      </w:pPr>
      <w:r>
        <w:rPr>
          <w:b/>
          <w:sz w:val="28"/>
          <w:szCs w:val="28"/>
          <w:lang w:eastAsia="uk-UA"/>
        </w:rPr>
        <w:t>ТИПОВА ТЕХНОЛОГІЧНА КАРТКА</w:t>
      </w:r>
    </w:p>
    <w:p>
      <w:pPr>
        <w:pStyle w:val="Normal"/>
        <w:ind w:right="-22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адміністративної послуги</w:t>
      </w:r>
    </w:p>
    <w:p>
      <w:pPr>
        <w:pStyle w:val="Normal"/>
        <w:ind w:right="-229"/>
        <w:jc w:val="center"/>
        <w:rPr/>
      </w:pPr>
      <w:r>
        <w:rPr>
          <w:rStyle w:val="Rvts23"/>
          <w:b/>
          <w:bCs/>
          <w:szCs w:val="28"/>
          <w:lang w:val="uk-UA"/>
        </w:rPr>
        <w:t xml:space="preserve">«ПРИЗНАЧЕННЯ КОМПЕНСАЦІЙ ТА ДОПОМОГИ </w:t>
      </w:r>
      <w:r>
        <w:rPr>
          <w:b/>
          <w:szCs w:val="28"/>
          <w:lang w:val="uk-UA"/>
        </w:rPr>
        <w:t>УЧАСНИКАМ ЛІКВІДАЦІЇ НАСЛІДКІВ АВАРІЇ НА ЧОРНОБИЛЬСЬКІЙ АЕС, ГРОМАДЯНАМ, ЯКІ БРАЛИ УЧАСТЬ У ЛІКВІДАЦІЇ ІНШИХ ЯДЕРНИХ АВАРІЙ ТА ВИПРОБУВАНЬ,                                У ВІЙСЬКОВИХ НАВЧАННЯХ ІЗ ЗАСТОСУВАННЯМ ЯДЕРНОЇ ЗБРОЇ,                                     У СКЛАДАННІ ЯДЕРНИХ ЗАРЯДІВ ТА ЗДІЙСНЕННІ НА НИХ РЕГЛАМЕНТНИХ РОБІТ, ВІДНЕСЕНИМ ДО КАТЕГОРІЇ 1, АБО 2, АБО 3; ПОТЕРПІЛИМ                                  ВІД ЧОРНОБИЛЬСЬКОЇ КАТАСТРОФИ, ВІДНЕСЕНИМ ДО КАТЕГОРІЙ 1, АБО 2, АБО 3; ПОТЕРПІЛИМ ВІД РАДІАЦІЙНОГО ОПРОМІНЕННЯ, ВІДНЕСЕНИМ                       ДО КАТЕГОРІЙ 1 АБО 2»</w:t>
      </w:r>
    </w:p>
    <w:p>
      <w:pPr>
        <w:pStyle w:val="Normal"/>
        <w:ind w:right="-229"/>
        <w:jc w:val="center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</w:r>
    </w:p>
    <w:p>
      <w:pPr>
        <w:pStyle w:val="HTML1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Управління соціального захисту населення</w:t>
      </w:r>
    </w:p>
    <w:p>
      <w:pPr>
        <w:pStyle w:val="Normal"/>
        <w:jc w:val="center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Рівненської районної державної адміністрації Рівненської області</w:t>
      </w:r>
    </w:p>
    <w:p>
      <w:pPr>
        <w:pStyle w:val="Normal"/>
        <w:jc w:val="center"/>
        <w:rPr>
          <w:bCs/>
          <w:sz w:val="20"/>
          <w:szCs w:val="20"/>
          <w:lang w:val="uk-UA" w:eastAsia="uk-UA"/>
        </w:rPr>
      </w:pPr>
      <w:r>
        <w:rPr>
          <w:bCs/>
          <w:sz w:val="20"/>
          <w:szCs w:val="20"/>
          <w:lang w:val="uk-UA" w:eastAsia="uk-UA"/>
        </w:rPr>
      </w:r>
    </w:p>
    <w:tbl>
      <w:tblPr>
        <w:tblW w:w="10080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303"/>
        <w:gridCol w:w="2816"/>
        <w:gridCol w:w="701"/>
        <w:gridCol w:w="2423"/>
      </w:tblGrid>
      <w:tr>
        <w:trPr/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hd w:fill="FFFFFF" w:val="clear"/>
              <w:spacing w:before="0" w:after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Інформація про центр надання адміністративних послуг </w:t>
            </w:r>
          </w:p>
        </w:tc>
      </w:tr>
      <w:tr>
        <w:trPr>
          <w:trHeight w:val="795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"/>
              <w:ind w:hanging="709" w:righ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2154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ind w:left="72" w:right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160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160"/>
              <w:ind w:left="72" w:right="0"/>
              <w:rPr>
                <w:lang w:eastAsia="ar-SA"/>
              </w:rPr>
            </w:pPr>
            <w:r>
              <w:rPr>
                <w:color w:val="000000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160"/>
              <w:rPr>
                <w:lang w:eastAsia="ar-SA"/>
              </w:rPr>
            </w:pPr>
            <w:r>
              <w:rPr>
                <w:lang w:eastAsia="ar-SA"/>
              </w:rPr>
              <w:t xml:space="preserve">Головний спеціаліст Відділу або адміністратор центру надання адміністративних послуг, ВРМ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>
        <w:trPr>
          <w:trHeight w:val="861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left="72" w:right="0"/>
              <w:rPr>
                <w:color w:val="000000"/>
              </w:rPr>
            </w:pPr>
            <w:r>
              <w:rPr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  <w:p>
            <w:pPr>
              <w:pStyle w:val="Style15"/>
              <w:spacing w:before="0" w:after="0"/>
              <w:ind w:left="72" w:right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160"/>
              <w:rPr>
                <w:lang w:eastAsia="ar-SA"/>
              </w:rPr>
            </w:pPr>
            <w:r>
              <w:rPr/>
              <w:t xml:space="preserve">Головний спеціаліст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left="72" w:right="0"/>
              <w:rPr>
                <w:lang w:eastAsia="ar-SA"/>
              </w:rPr>
            </w:pPr>
            <w:r>
              <w:rPr>
                <w:lang w:eastAsia="ar-SA"/>
              </w:rPr>
              <w:t>Формування  особової справи</w:t>
            </w:r>
          </w:p>
          <w:p>
            <w:pPr>
              <w:pStyle w:val="Style15"/>
              <w:spacing w:before="0" w:after="0"/>
              <w:ind w:left="72" w:right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160"/>
              <w:rPr>
                <w:lang w:eastAsia="ar-SA"/>
              </w:rPr>
            </w:pPr>
            <w:r>
              <w:rPr/>
              <w:t xml:space="preserve">Головний спеціаліст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left="72" w:right="0"/>
              <w:rPr>
                <w:color w:val="000000"/>
              </w:rPr>
            </w:pPr>
            <w:r>
              <w:rPr>
                <w:color w:val="000000"/>
              </w:rPr>
              <w:t>Передача особової справи на призначення компенсації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160"/>
              <w:rPr>
                <w:lang w:eastAsia="ar-SA"/>
              </w:rPr>
            </w:pPr>
            <w:r>
              <w:rPr/>
              <w:t xml:space="preserve">Головний спеціаліст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Опрацювання заяв спеціалістами з призначення </w:t>
            </w:r>
            <w:r>
              <w:rPr>
                <w:rFonts w:cs="Times New Roman" w:ascii="Times New Roman" w:hAnsi="Times New Roman"/>
                <w:color w:val="000000"/>
              </w:rPr>
              <w:t>компенсації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 xml:space="preserve">Головний спеціаліст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lang w:eastAsia="ar-SA"/>
              </w:rPr>
            </w:pPr>
            <w:r>
              <w:rPr>
                <w:lang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 xml:space="preserve">Заступник начальника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color w:val="000000"/>
              </w:rPr>
            </w:pPr>
            <w:r>
              <w:rPr>
                <w:color w:val="000000"/>
              </w:rPr>
              <w:t>Візування рішень про призначення або відмову у призначенні компенсації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 xml:space="preserve">Заступник начальника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>
        <w:trPr>
          <w:trHeight w:val="925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color w:val="000000"/>
              </w:rPr>
            </w:pPr>
            <w:r>
              <w:rPr>
                <w:color w:val="000000"/>
              </w:rPr>
              <w:t>Передача опрацьованих особових справ до відділу виплати або архіву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Спеціалісти відділу</w:t>
            </w:r>
            <w:r>
              <w:rPr>
                <w:lang w:val="uk-UA"/>
              </w:rPr>
              <w:t xml:space="preserve"> пільг та персоніфікованого обліку</w:t>
            </w:r>
            <w:r>
              <w:rPr/>
              <w:t xml:space="preserve"> УСЗН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>
        <w:trPr>
          <w:trHeight w:val="165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Arial Unicode MS"/>
                <w:color w:val="000000"/>
              </w:rPr>
            </w:pPr>
            <w:r>
              <w:rPr/>
              <w:t>Затвердження прийнятого рішення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rFonts w:eastAsia="Arial Unicode MS"/>
                <w:color w:val="000000"/>
              </w:rPr>
            </w:pPr>
            <w:r>
              <w:rPr/>
              <w:t>Начальник, заступник начальника</w:t>
            </w:r>
            <w:r>
              <w:rPr>
                <w:rFonts w:eastAsia="Arial Unicode MS"/>
                <w:color w:val="000000"/>
              </w:rPr>
              <w:t xml:space="preserve"> </w:t>
            </w:r>
            <w:r>
              <w:rPr/>
              <w:t xml:space="preserve">управління  соціального захисту населення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jc w:val="center"/>
              <w:rPr>
                <w:rFonts w:eastAsia="Arial Unicode MS"/>
                <w:color w:val="000000"/>
              </w:rPr>
            </w:pPr>
            <w:r>
              <w:rPr/>
              <w:t>З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rFonts w:eastAsia="Arial Unicode MS"/>
                <w:color w:val="000000"/>
              </w:rPr>
            </w:pPr>
            <w:r>
              <w:rPr/>
              <w:t>дев’ятого- десятого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>
                <w:color w:val="000000"/>
              </w:rPr>
              <w:t>Реєстрація рішення про призначення соціальної допомоги (або відмови у її призначенні) повідомлення про призначення компенсації (або відмови у її призначенні)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Спеціалісти відділу виплати соціальних допомог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>
                <w:color w:val="000000"/>
              </w:rPr>
              <w:t>Передача до відділу  виплати щодо призначення допомоги та повідомлення про відмову в призначенні компенсації відповідно до реєстру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 xml:space="preserve">Заступник начальника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наступного робочого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Проведення паперової та електронної обробки особових рахунків та справ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Спеціалісти відділу виплати соціальних допомог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2"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Перевірка правильності нарахування допомоги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Спеціалісти відділу виплати соціальних допомог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2"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Фіксація нарахованої допомоги в електронному варіанті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Спеціалісти відділу автоматизованої обробки інформації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2"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795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Формування виплатних відомостей в електронному варіанті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Спеціалісти відділу автоматизованої обробки інформації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2"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1050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Друкування виплатних відомостей та супровідних документів для поштових відділень  та банків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Спеціалісти відділу автоматизованої обробки інформації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2"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hd w:fill="FFFFFF" w:val="clear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240" w:before="0" w:after="0"/>
              <w:ind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Видача заявнику повідомлення про призначення (відмову в призначенні) допомоги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Відповідальна особа з прийому документів територіальної громади за місцем проживання заявника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240" w:before="0" w:after="0"/>
              <w:rPr>
                <w:color w:val="000000"/>
              </w:rPr>
            </w:pPr>
            <w:r>
              <w:rPr>
                <w:color w:val="000000"/>
              </w:rPr>
              <w:t>До 30 днів</w:t>
            </w:r>
          </w:p>
        </w:tc>
      </w:tr>
      <w:tr>
        <w:trPr>
          <w:trHeight w:val="840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Головний бухгалтер  відділу бухгалтерського обліку та звітності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color w:val="FF0000"/>
              </w:rPr>
            </w:pPr>
            <w:r>
              <w:rPr>
                <w:color w:val="000000"/>
              </w:rPr>
              <w:t>До 8 та 25 числа кожного місяця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Замовлення фінансування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Головний бухгалтер, заступник головного бухгалтера   відділу бухгалтерського обліку та звітності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2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color w:val="000000"/>
              </w:rPr>
            </w:pPr>
            <w:r>
              <w:rPr/>
              <w:t>Протягом одного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Передача завірених виплатних відомостей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>
                <w:rFonts w:eastAsia="Times New Roman"/>
              </w:rPr>
              <w:t xml:space="preserve"> </w:t>
            </w:r>
            <w:r>
              <w:rPr/>
              <w:t>На виплатні об’єкти АТ «Укрпошта» або через уповноважені банки, визначені в установленому порядку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Щомісяця до 10 числа</w:t>
            </w:r>
          </w:p>
        </w:tc>
      </w:tr>
      <w:tr>
        <w:trPr>
          <w:trHeight w:val="1950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</w:rPr>
              <w:t>Перерахування коштів на виплату допомоги на відділення поштового зв’язку або установу банку, в якій відкрито рахунок одержувача  допомоги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right="-142"/>
              <w:rPr>
                <w:color w:val="000000"/>
              </w:rPr>
            </w:pPr>
            <w:r>
              <w:rPr>
                <w:color w:val="000000"/>
              </w:rPr>
              <w:t>В 3-денний термін з часу  надходження коштів на казначейський рахунок</w:t>
            </w:r>
          </w:p>
        </w:tc>
      </w:tr>
      <w:tr>
        <w:trPr>
          <w:trHeight w:val="240" w:hRule="atLeast"/>
        </w:trPr>
        <w:tc>
          <w:tcPr>
            <w:tcW w:w="7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Загальна кількість днів для призначення (відмови)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>
        <w:trPr/>
        <w:tc>
          <w:tcPr>
            <w:tcW w:w="7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100" w:before="0" w:after="160"/>
              <w:ind w:right="450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Загальна кількість днів (передбачена законодавством )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До 30 днів</w:t>
            </w:r>
          </w:p>
        </w:tc>
      </w:tr>
    </w:tbl>
    <w:p>
      <w:pPr>
        <w:pStyle w:val="Normal"/>
        <w:rPr>
          <w:b/>
          <w:lang w:eastAsia="uk-UA"/>
        </w:rPr>
      </w:pPr>
      <w:r>
        <w:rPr>
          <w:b/>
          <w:lang w:eastAsia="uk-UA"/>
        </w:rPr>
      </w:r>
    </w:p>
    <w:p>
      <w:pPr>
        <w:pStyle w:val="Normal"/>
        <w:rPr>
          <w:b/>
          <w:lang w:eastAsia="uk-UA"/>
        </w:rPr>
      </w:pPr>
      <w:r>
        <w:rPr>
          <w:b/>
          <w:lang w:eastAsia="uk-UA"/>
        </w:rPr>
      </w:r>
    </w:p>
    <w:p>
      <w:pPr>
        <w:pStyle w:val="Normal"/>
        <w:rPr>
          <w:b/>
          <w:lang w:eastAsia="uk-UA"/>
        </w:rPr>
      </w:pPr>
      <w:r>
        <w:rPr>
          <w:b/>
          <w:lang w:eastAsia="uk-UA"/>
        </w:rPr>
      </w:r>
    </w:p>
    <w:p>
      <w:pPr>
        <w:pStyle w:val="Normal"/>
        <w:rPr/>
      </w:pPr>
      <w:r>
        <w:rPr/>
      </w:r>
    </w:p>
    <w:p>
      <w:pPr>
        <w:pStyle w:val="Normal"/>
        <w:keepNext w:val="true"/>
        <w:keepLines/>
        <w:spacing w:before="0" w:after="240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18" w:right="794" w:gutter="0" w:header="709" w:top="1135" w:footer="0" w:bottom="73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Calibri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Rvts23">
    <w:name w:val="rvts23"/>
    <w:basedOn w:val="Style14"/>
    <w:qFormat/>
    <w:rPr>
      <w:rFonts w:cs="Times New Roman"/>
    </w:rPr>
  </w:style>
  <w:style w:type="character" w:styleId="Apple-converted-space">
    <w:name w:val="apple-converted-space"/>
    <w:basedOn w:val="Style14"/>
    <w:qFormat/>
    <w:rPr>
      <w:rFonts w:cs="Times New Roman"/>
    </w:rPr>
  </w:style>
  <w:style w:type="character" w:styleId="Hyperlink">
    <w:name w:val="Hyperlink"/>
    <w:basedOn w:val="Style14"/>
    <w:rPr>
      <w:rFonts w:cs="Times New Roman"/>
      <w:color w:val="0000FF"/>
      <w:u w:val="single"/>
    </w:rPr>
  </w:style>
  <w:style w:type="character" w:styleId="Rvts0">
    <w:name w:val="rvts0"/>
    <w:basedOn w:val="Style14"/>
    <w:qFormat/>
    <w:rPr>
      <w:rFonts w:cs="Times New Roman"/>
    </w:rPr>
  </w:style>
  <w:style w:type="character" w:styleId="HeaderChar">
    <w:name w:val="Header Char"/>
    <w:basedOn w:val="Style14"/>
    <w:qFormat/>
    <w:rPr>
      <w:rFonts w:eastAsia="Calibri"/>
      <w:sz w:val="24"/>
      <w:szCs w:val="24"/>
      <w:lang w:val="ru-RU" w:bidi="ar-SA"/>
    </w:rPr>
  </w:style>
  <w:style w:type="character" w:styleId="HTML">
    <w:name w:val="Стандартний HTML Знак"/>
    <w:basedOn w:val="Style14"/>
    <w:qFormat/>
    <w:rPr>
      <w:rFonts w:ascii="Courier New" w:hAnsi="Courier New" w:cs="Courier New"/>
      <w:sz w:val="24"/>
      <w:szCs w:val="24"/>
      <w:lang w:val="ru-RU" w:bidi="ar-SA"/>
    </w:rPr>
  </w:style>
  <w:style w:type="character" w:styleId="BodyTextChar">
    <w:name w:val="Body Text Char"/>
    <w:basedOn w:val="Style14"/>
    <w:qFormat/>
    <w:rPr>
      <w:rFonts w:ascii="Calibri" w:hAnsi="Calibri" w:cs="Calibri"/>
      <w:sz w:val="22"/>
      <w:szCs w:val="22"/>
      <w:lang w:val="ru-RU" w:bidi="ar-S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20"/>
    </w:pPr>
    <w:rPr>
      <w:rFonts w:ascii="Calibri" w:hAnsi="Calibri" w:eastAsia="Times New Roman" w:cs="Calibri"/>
      <w:sz w:val="22"/>
      <w:szCs w:val="22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5">
    <w:name w:val="Обычный (веб)"/>
    <w:basedOn w:val="Normal"/>
    <w:qFormat/>
    <w:pPr>
      <w:spacing w:before="280" w:after="280"/>
    </w:pPr>
    <w:rPr>
      <w:lang w:val="uk-UA"/>
    </w:rPr>
  </w:style>
  <w:style w:type="paragraph" w:styleId="Rvps2">
    <w:name w:val="rvps2"/>
    <w:basedOn w:val="Normal"/>
    <w:qFormat/>
    <w:pPr>
      <w:spacing w:before="280" w:after="280"/>
    </w:pPr>
    <w:rPr/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uk-UA" w:bidi="ar-SA" w:eastAsia="zh-CN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</w:rPr>
  </w:style>
  <w:style w:type="paragraph" w:styleId="1">
    <w:name w:val="Без интервала1"/>
    <w:qFormat/>
    <w:pPr>
      <w:widowControl/>
      <w:tabs>
        <w:tab w:val="left" w:pos="708" w:leader="none"/>
      </w:tabs>
      <w:suppressAutoHyphens w:val="true"/>
      <w:bidi w:val="0"/>
      <w:spacing w:lineRule="atLeast" w:line="100"/>
    </w:pPr>
    <w:rPr>
      <w:rFonts w:ascii="Calibri" w:hAnsi="Calibri" w:eastAsia="SimSun;宋体" w:cs="Arial"/>
      <w:color w:val="00000A"/>
      <w:kern w:val="2"/>
      <w:sz w:val="22"/>
      <w:szCs w:val="22"/>
      <w:lang w:val="ru-RU" w:bidi="ar-SA" w:eastAsia="zh-C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2023-11-28T14:19:00Z</dcterms:created>
  <dc:creator>Сергійчук</dc:creator>
  <dc:description/>
  <cp:keywords/>
  <dc:language>en-US</dc:language>
  <cp:lastModifiedBy>Сергійчук</cp:lastModifiedBy>
  <dcterms:modified xsi:type="dcterms:W3CDTF">2024-05-20T11:11:00Z</dcterms:modified>
  <cp:revision>10</cp:revision>
  <dc:subject/>
  <dc:title>ТИПОВА ІНФОРМАЦІЙНА КАРТКА</dc:title>
</cp:coreProperties>
</file>