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right"/>
        <w:rPr/>
      </w:pP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              </w:t>
      </w:r>
      <w:r>
        <w:rPr/>
        <w:t>14 листопада 2023 року № 27</w:t>
      </w:r>
    </w:p>
    <w:p>
      <w:pPr>
        <w:pStyle w:val="Normal"/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Web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bCs/>
          <w:caps/>
        </w:rPr>
      </w:pPr>
      <w:r>
        <w:rPr>
          <w:b/>
          <w:bCs/>
          <w:caps/>
        </w:rPr>
        <w:t>«ПРИЗНАЧЕННЯ державної допомоги при усиновленні дитини»</w:t>
      </w:r>
    </w:p>
    <w:p>
      <w:pPr>
        <w:pStyle w:val="NormalWeb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bCs/>
          <w:caps/>
          <w:sz w:val="16"/>
          <w:szCs w:val="16"/>
        </w:rPr>
      </w:pPr>
      <w:r>
        <w:rPr>
          <w:b/>
          <w:bCs/>
          <w:caps/>
          <w:sz w:val="16"/>
          <w:szCs w:val="16"/>
        </w:rPr>
      </w:r>
    </w:p>
    <w:p>
      <w:pPr>
        <w:pStyle w:val="Normal"/>
        <w:bidi w:val="0"/>
        <w:ind w:hanging="0" w:left="0" w:right="0"/>
        <w:jc w:val="center"/>
        <w:rPr>
          <w:sz w:val="16"/>
          <w:szCs w:val="16"/>
          <w:lang w:eastAsia="uk-UA"/>
        </w:rPr>
      </w:pPr>
      <w:r>
        <w:rPr>
          <w:b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lang w:eastAsia="uk-UA"/>
        </w:rPr>
      </w:pPr>
      <w:r>
        <w:rPr>
          <w:sz w:val="20"/>
          <w:szCs w:val="20"/>
          <w:lang w:eastAsia="uk-UA"/>
        </w:rPr>
        <w:t xml:space="preserve"> </w:t>
      </w:r>
      <w:r>
        <w:rPr>
          <w:b/>
          <w:u w:val="single"/>
        </w:rPr>
        <w:t>Рівненської районної державної адміністрації Рівненської області</w:t>
      </w:r>
    </w:p>
    <w:tbl>
      <w:tblPr>
        <w:tblW w:w="9759" w:type="dxa"/>
        <w:jc w:val="left"/>
        <w:tblInd w:w="4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48"/>
        <w:gridCol w:w="3242"/>
        <w:gridCol w:w="2873"/>
        <w:gridCol w:w="618"/>
        <w:gridCol w:w="2278"/>
      </w:tblGrid>
      <w:tr>
        <w:trPr/>
        <w:tc>
          <w:tcPr>
            <w:tcW w:w="975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>Інформація про центр надання адміністративних послуг Корецької міської ради (далі – ЦНАП) через який надається адміністративна послуга</w:t>
            </w:r>
          </w:p>
        </w:tc>
      </w:tr>
      <w:tr>
        <w:trPr>
          <w:trHeight w:val="558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Спеціаліст відділу соціальних допомог УСЗН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>Спеціаліст відділу соціальних допомог УСЗН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eastAsia="en-US"/>
              </w:rPr>
              <w:t>Спеціаліст відділу соціальних допомог УСЗН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3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соціальних допомог УСЗН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Реєстрація рішення про призначення соціальної допомоги (або відмови у її призначенні) повідомлення про призначення соціальної допомоги (або відмови у її призначенні)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соціальних допомог УСЗН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  <w:lang w:val="uk-UA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105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shd w:fill="FFFFFF"/>
              <w:tabs>
                <w:tab w:val="clear" w:pos="709"/>
              </w:tabs>
              <w:bidi w:val="0"/>
              <w:spacing w:lineRule="atLeast" w:line="240" w:before="0" w:after="0"/>
              <w:ind w:hanging="0" w:left="0" w:right="76"/>
              <w:jc w:val="both"/>
              <w:rPr/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both"/>
              <w:rPr/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tLeast" w:line="240" w:before="0" w:after="0"/>
              <w:ind w:hanging="0" w:left="0" w:right="0"/>
              <w:jc w:val="center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tLeast" w:line="240" w:before="0" w:after="0"/>
              <w:ind w:hanging="0" w:left="0" w:right="0"/>
              <w:jc w:val="left"/>
              <w:rPr/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На виплатні об’єкти АТ „Укрпоштаˮ або через уповноважені банки, визначені в установленому порядку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eastAsia="en-US"/>
              </w:rPr>
              <w:t>Щомісяця до 10 числа</w:t>
            </w:r>
          </w:p>
        </w:tc>
      </w:tr>
      <w:tr>
        <w:trPr>
          <w:trHeight w:val="159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-142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330" w:hRule="atLeast"/>
        </w:trPr>
        <w:tc>
          <w:tcPr>
            <w:tcW w:w="7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 днів</w:t>
            </w:r>
          </w:p>
        </w:tc>
      </w:tr>
      <w:tr>
        <w:trPr/>
        <w:tc>
          <w:tcPr>
            <w:tcW w:w="7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spacing w:lineRule="atLeast" w:line="10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bidi w:val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bidi w:val="0"/>
        <w:ind w:hanging="0" w:left="0" w:right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3262</Words>
  <Characters>5112</Characters>
  <CharactersWithSpaces>1860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2023-11-27T13:09:00Z</dcterms:created>
  <dc:creator>Оксана Горбаченко</dc:creator>
  <dc:description/>
  <dc:language>en-US</dc:language>
  <cp:lastModifiedBy/>
  <cp:lastPrinted>2022-01-21T15:58:00Z</cp:lastPrinted>
  <dcterms:modified xsi:type="dcterms:W3CDTF">2024-01-25T09:31:00Z</dcterms:modified>
  <cp:revision>5</cp:revision>
  <dc:subject/>
  <dc:title>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