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42" w:rsidRPr="003853D9" w:rsidRDefault="00B70A42" w:rsidP="003853D9">
      <w:pPr>
        <w:pStyle w:val="NormalWeb"/>
        <w:spacing w:before="0" w:beforeAutospacing="0" w:after="0" w:afterAutospacing="0"/>
        <w:jc w:val="center"/>
        <w:rPr>
          <w:sz w:val="28"/>
          <w:szCs w:val="28"/>
        </w:rPr>
      </w:pPr>
      <w:bookmarkStart w:id="0" w:name="_GoBack"/>
      <w:bookmarkEnd w:id="0"/>
      <w:r w:rsidRPr="003853D9">
        <w:rPr>
          <w:b/>
          <w:bCs/>
          <w:color w:val="000000"/>
          <w:sz w:val="28"/>
          <w:szCs w:val="28"/>
        </w:rPr>
        <w:t>Роз’яснення щодо строків встановлення та визначення дати, з якої встановлена інвалідність та/чи відсоток втрати професійної працездатності особам, яким проведено оцінювання повсякденного функціонування </w:t>
      </w:r>
    </w:p>
    <w:p w:rsidR="00B70A42" w:rsidRDefault="00B70A42" w:rsidP="00B70A42"/>
    <w:p w:rsidR="00B70A42" w:rsidRDefault="00B70A42" w:rsidP="00B70A42">
      <w:pPr>
        <w:pStyle w:val="NormalWeb"/>
        <w:spacing w:before="0" w:beforeAutospacing="0" w:after="0" w:afterAutospacing="0"/>
        <w:ind w:firstLine="709"/>
        <w:jc w:val="both"/>
      </w:pPr>
      <w:r>
        <w:rPr>
          <w:b/>
          <w:bCs/>
          <w:color w:val="000000"/>
        </w:rPr>
        <w:t>Рішення експертних команд з оцінювання повсякденного функціонування особи про встановлення інвалідності встановлює строки інвалідності відповідно до строків, визначених Критеріями встановлення інвалідності, затверджених постановою Кабінету Міністрів України від 15.11.2024 № 1338:</w:t>
      </w:r>
    </w:p>
    <w:p w:rsidR="00B70A42" w:rsidRDefault="00B70A42" w:rsidP="00B70A42">
      <w:pPr>
        <w:pStyle w:val="NormalWeb"/>
        <w:shd w:val="clear" w:color="auto" w:fill="FFFFFF"/>
        <w:spacing w:before="0" w:beforeAutospacing="0" w:after="0" w:afterAutospacing="0"/>
        <w:ind w:firstLine="709"/>
        <w:jc w:val="both"/>
      </w:pPr>
      <w:r>
        <w:rPr>
          <w:color w:val="000000"/>
        </w:rPr>
        <w:t xml:space="preserve">для осіб, які мають анатомічні дефекти, інші необоротні порушення функцій органів і систем організму згідно з частиною I додатка до Критеріїв встановлення інвалідності, - </w:t>
      </w:r>
      <w:r>
        <w:rPr>
          <w:b/>
          <w:bCs/>
          <w:color w:val="000000"/>
        </w:rPr>
        <w:t>безстроково;</w:t>
      </w:r>
    </w:p>
    <w:p w:rsidR="00B70A42" w:rsidRDefault="00B70A42" w:rsidP="00B70A42">
      <w:pPr>
        <w:pStyle w:val="NormalWeb"/>
        <w:shd w:val="clear" w:color="auto" w:fill="FFFFFF"/>
        <w:spacing w:before="0" w:beforeAutospacing="0" w:after="0" w:afterAutospacing="0"/>
        <w:ind w:firstLine="709"/>
        <w:jc w:val="both"/>
      </w:pPr>
      <w:r>
        <w:rPr>
          <w:color w:val="000000"/>
        </w:rPr>
        <w:t xml:space="preserve">для осіб, які проходять повторне оцінювання і мають інвалідність I групи протягом 5 років, - </w:t>
      </w:r>
      <w:r>
        <w:rPr>
          <w:b/>
          <w:bCs/>
          <w:color w:val="000000"/>
        </w:rPr>
        <w:t>безстроково;</w:t>
      </w:r>
    </w:p>
    <w:p w:rsidR="00B70A42" w:rsidRDefault="00B70A42" w:rsidP="00B70A42">
      <w:pPr>
        <w:pStyle w:val="NormalWeb"/>
        <w:shd w:val="clear" w:color="auto" w:fill="FFFFFF"/>
        <w:spacing w:before="0" w:beforeAutospacing="0" w:after="0" w:afterAutospacing="0"/>
        <w:ind w:firstLine="709"/>
        <w:jc w:val="both"/>
      </w:pPr>
      <w:r>
        <w:rPr>
          <w:color w:val="000000"/>
        </w:rPr>
        <w:t>для осіб, які мають онкологічні та онкогематологічні захворювання з несприятливим прогнозом згідно з частиною II додатка до Критеріїв встановлення інвалідності - на 5 років;</w:t>
      </w:r>
    </w:p>
    <w:p w:rsidR="00B70A42" w:rsidRDefault="00B70A42" w:rsidP="00B70A42">
      <w:pPr>
        <w:pStyle w:val="NormalWeb"/>
        <w:shd w:val="clear" w:color="auto" w:fill="FFFFFF"/>
        <w:spacing w:before="0" w:beforeAutospacing="0" w:after="0" w:afterAutospacing="0"/>
        <w:ind w:firstLine="709"/>
        <w:jc w:val="both"/>
      </w:pPr>
      <w:r>
        <w:rPr>
          <w:color w:val="000000"/>
        </w:rPr>
        <w:t>для осіб, які мають хронічні захворювання з тяжким перебігом згідно з частиною III додатка до Критеріїв встановлення інвалідності, - на 5 років;</w:t>
      </w:r>
    </w:p>
    <w:p w:rsidR="00B70A42" w:rsidRDefault="00B70A42" w:rsidP="00B70A42">
      <w:pPr>
        <w:pStyle w:val="NormalWeb"/>
        <w:shd w:val="clear" w:color="auto" w:fill="FFFFFF"/>
        <w:spacing w:before="0" w:beforeAutospacing="0" w:after="0" w:afterAutospacing="0"/>
        <w:ind w:firstLine="709"/>
        <w:jc w:val="both"/>
      </w:pPr>
      <w:r>
        <w:rPr>
          <w:color w:val="000000"/>
        </w:rPr>
        <w:t>для осіб, яким вперше встановлюється III група інвалідності, - на 1 рік;</w:t>
      </w:r>
    </w:p>
    <w:p w:rsidR="00B70A42" w:rsidRDefault="00B70A42" w:rsidP="00B70A42">
      <w:pPr>
        <w:pStyle w:val="NormalWeb"/>
        <w:shd w:val="clear" w:color="auto" w:fill="FFFFFF"/>
        <w:spacing w:before="0" w:beforeAutospacing="0" w:after="0" w:afterAutospacing="0"/>
        <w:ind w:firstLine="709"/>
        <w:jc w:val="both"/>
      </w:pPr>
      <w:r>
        <w:rPr>
          <w:color w:val="000000"/>
        </w:rPr>
        <w:t>для осіб, яким вперше встановлюється II група інвалідності, - на 2 роки;</w:t>
      </w:r>
    </w:p>
    <w:p w:rsidR="00B70A42" w:rsidRDefault="00B70A42" w:rsidP="00B70A42">
      <w:pPr>
        <w:pStyle w:val="NormalWeb"/>
        <w:shd w:val="clear" w:color="auto" w:fill="FFFFFF"/>
        <w:spacing w:before="0" w:beforeAutospacing="0" w:after="0" w:afterAutospacing="0"/>
        <w:ind w:firstLine="709"/>
        <w:jc w:val="both"/>
      </w:pPr>
      <w:r>
        <w:rPr>
          <w:color w:val="000000"/>
        </w:rPr>
        <w:t>для осіб, що проходять повторне оцінювання, - на 1-3 роки.</w:t>
      </w:r>
    </w:p>
    <w:p w:rsidR="00B70A42" w:rsidRDefault="00B70A42" w:rsidP="00B70A42">
      <w:pPr>
        <w:pStyle w:val="NormalWeb"/>
        <w:spacing w:before="0" w:beforeAutospacing="0" w:after="0" w:afterAutospacing="0"/>
        <w:ind w:firstLine="709"/>
        <w:jc w:val="both"/>
      </w:pPr>
      <w:r>
        <w:rPr>
          <w:color w:val="000000"/>
        </w:rPr>
        <w:t xml:space="preserve">У разі коли строк повторного оцінювання настає після досягнення пенсійного віку, встановленого статтею 26 Закону України “Про загальнообов’язкове державне пенсійне страхування”, інвалідність особі встановлюється </w:t>
      </w:r>
      <w:r>
        <w:rPr>
          <w:b/>
          <w:bCs/>
          <w:color w:val="000000"/>
        </w:rPr>
        <w:t>безстроково.</w:t>
      </w:r>
    </w:p>
    <w:p w:rsidR="00B70A42" w:rsidRDefault="00B70A42" w:rsidP="00B70A42">
      <w:pPr>
        <w:pStyle w:val="NormalWeb"/>
        <w:spacing w:before="0" w:beforeAutospacing="0" w:after="0" w:afterAutospacing="0"/>
        <w:ind w:firstLine="709"/>
        <w:jc w:val="both"/>
      </w:pPr>
      <w:r>
        <w:rPr>
          <w:color w:val="000000"/>
        </w:rPr>
        <w:t xml:space="preserve">Особам, які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їх здійснення,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w:t>
      </w:r>
      <w:r>
        <w:rPr>
          <w:b/>
          <w:bCs/>
          <w:color w:val="000000"/>
        </w:rPr>
        <w:t>отримали ушкодження, які призвели до необоротної втрати (у тому числі ампутації) верхніх та/або нижніх кінцівок (їх частин), необоротної втрати іншого органу або повної стійкої втрати органом його функцій, що призвело до інвалідності, група інвалідності встановлюється без зазначення строку повторного огляду (безстроково) та на ступінь вище</w:t>
      </w:r>
      <w:r>
        <w:rPr>
          <w:color w:val="000000"/>
        </w:rPr>
        <w:t xml:space="preserve"> визначених законодавством критеріїв встановлення групи інвалідності, але не вище I групи.</w:t>
      </w:r>
    </w:p>
    <w:p w:rsidR="00B70A42" w:rsidRDefault="00B70A42" w:rsidP="00B70A42"/>
    <w:p w:rsidR="00B70A42" w:rsidRDefault="00B70A42" w:rsidP="00B70A42">
      <w:pPr>
        <w:pStyle w:val="NormalWeb"/>
        <w:spacing w:before="0" w:beforeAutospacing="0" w:after="0" w:afterAutospacing="0"/>
        <w:ind w:firstLine="709"/>
        <w:jc w:val="both"/>
      </w:pPr>
      <w:r>
        <w:rPr>
          <w:b/>
          <w:bCs/>
          <w:color w:val="073763"/>
        </w:rPr>
        <w:t>Первинне встановлення інвалідності та/чи відсотка втрати професійної працездатності:</w:t>
      </w:r>
    </w:p>
    <w:p w:rsidR="00B70A42" w:rsidRDefault="00B70A42" w:rsidP="00B70A42">
      <w:pPr>
        <w:pStyle w:val="NormalWeb"/>
        <w:numPr>
          <w:ilvl w:val="0"/>
          <w:numId w:val="1"/>
        </w:numPr>
        <w:spacing w:before="0" w:beforeAutospacing="0" w:after="0" w:afterAutospacing="0"/>
        <w:ind w:left="785"/>
        <w:jc w:val="both"/>
        <w:textAlignment w:val="baseline"/>
        <w:rPr>
          <w:color w:val="000000"/>
        </w:rPr>
      </w:pPr>
      <w:r>
        <w:rPr>
          <w:color w:val="000000"/>
        </w:rPr>
        <w:t>датою встановлення інвалідності та/або відсотка втрати професійної працездатності вважається</w:t>
      </w:r>
      <w:r>
        <w:rPr>
          <w:b/>
          <w:bCs/>
          <w:color w:val="000000"/>
        </w:rPr>
        <w:t xml:space="preserve"> </w:t>
      </w:r>
      <w:r>
        <w:rPr>
          <w:b/>
          <w:bCs/>
          <w:color w:val="000000"/>
          <w:shd w:val="clear" w:color="auto" w:fill="FFFFFF"/>
        </w:rPr>
        <w:t>дата направлення на оцінювання</w:t>
      </w:r>
      <w:r>
        <w:rPr>
          <w:color w:val="000000"/>
          <w:shd w:val="clear" w:color="auto" w:fill="FFFFFF"/>
        </w:rPr>
        <w:t xml:space="preserve"> або </w:t>
      </w:r>
      <w:r>
        <w:rPr>
          <w:b/>
          <w:bCs/>
          <w:color w:val="000000"/>
          <w:shd w:val="clear" w:color="auto" w:fill="FFFFFF"/>
        </w:rPr>
        <w:t>дата видачі направлення до медико-соціальних експертних комісій, що передані до експертних команд для проведення оцінювання</w:t>
      </w:r>
      <w:r>
        <w:rPr>
          <w:color w:val="000000"/>
        </w:rPr>
        <w:t>;</w:t>
      </w:r>
    </w:p>
    <w:p w:rsidR="00B70A42" w:rsidRDefault="00B70A42" w:rsidP="00B70A42">
      <w:pPr>
        <w:pStyle w:val="NormalWeb"/>
        <w:numPr>
          <w:ilvl w:val="0"/>
          <w:numId w:val="1"/>
        </w:numPr>
        <w:spacing w:before="0" w:beforeAutospacing="0" w:after="0" w:afterAutospacing="0"/>
        <w:ind w:left="785"/>
        <w:jc w:val="both"/>
        <w:textAlignment w:val="baseline"/>
        <w:rPr>
          <w:color w:val="000000"/>
        </w:rPr>
      </w:pPr>
      <w:r>
        <w:rPr>
          <w:color w:val="000000"/>
          <w:sz w:val="23"/>
          <w:szCs w:val="23"/>
          <w:shd w:val="clear" w:color="auto" w:fill="FFFFFF"/>
        </w:rPr>
        <w:t>Для осіб, які направлені на оцінювання</w:t>
      </w:r>
      <w:r>
        <w:rPr>
          <w:b/>
          <w:bCs/>
          <w:color w:val="000000"/>
          <w:sz w:val="23"/>
          <w:szCs w:val="23"/>
          <w:shd w:val="clear" w:color="auto" w:fill="FFFFFF"/>
        </w:rPr>
        <w:t xml:space="preserve"> з метою продовження тимчасової непрацездатності</w:t>
      </w:r>
      <w:r>
        <w:rPr>
          <w:color w:val="000000"/>
          <w:sz w:val="23"/>
          <w:szCs w:val="23"/>
          <w:shd w:val="clear" w:color="auto" w:fill="FFFFFF"/>
        </w:rPr>
        <w:t xml:space="preserve">, та в разі прийняття рішення експертної команди </w:t>
      </w:r>
      <w:r>
        <w:rPr>
          <w:b/>
          <w:bCs/>
          <w:color w:val="000000"/>
          <w:sz w:val="23"/>
          <w:szCs w:val="23"/>
          <w:shd w:val="clear" w:color="auto" w:fill="FFFFFF"/>
        </w:rPr>
        <w:t>про встановлення інвалідності датою встановлення інвалідності є дата прийняття рішення експертною командою</w:t>
      </w:r>
      <w:r>
        <w:rPr>
          <w:color w:val="000000"/>
          <w:sz w:val="23"/>
          <w:szCs w:val="23"/>
          <w:shd w:val="clear" w:color="auto" w:fill="FFFFFF"/>
        </w:rPr>
        <w:t>.</w:t>
      </w:r>
    </w:p>
    <w:p w:rsidR="00B70A42" w:rsidRDefault="00B70A42" w:rsidP="00B70A42">
      <w:pPr>
        <w:pStyle w:val="NormalWeb"/>
        <w:spacing w:before="0" w:beforeAutospacing="0" w:after="0" w:afterAutospacing="0"/>
        <w:jc w:val="both"/>
      </w:pPr>
      <w:r>
        <w:rPr>
          <w:color w:val="000000"/>
          <w:sz w:val="23"/>
          <w:szCs w:val="23"/>
          <w:shd w:val="clear" w:color="auto" w:fill="FFFFFF"/>
        </w:rPr>
        <w:t> </w:t>
      </w:r>
      <w:r>
        <w:rPr>
          <w:rStyle w:val="apple-tab-span"/>
          <w:color w:val="000000"/>
          <w:sz w:val="23"/>
          <w:szCs w:val="23"/>
          <w:shd w:val="clear" w:color="auto" w:fill="FFFFFF"/>
        </w:rPr>
        <w:tab/>
      </w:r>
    </w:p>
    <w:p w:rsidR="00B70A42" w:rsidRDefault="00B70A42" w:rsidP="00B70A42">
      <w:pPr>
        <w:pStyle w:val="NormalWeb"/>
        <w:spacing w:before="0" w:beforeAutospacing="0" w:after="0" w:afterAutospacing="0"/>
        <w:ind w:firstLine="709"/>
        <w:jc w:val="both"/>
      </w:pPr>
      <w:r>
        <w:rPr>
          <w:b/>
          <w:bCs/>
          <w:color w:val="073763"/>
        </w:rPr>
        <w:t>Повторне встановлення інвалідності та/або відсотка втрати професійної       працездатності:</w:t>
      </w:r>
    </w:p>
    <w:p w:rsidR="00B70A42" w:rsidRDefault="00B70A42" w:rsidP="00B70A42">
      <w:pPr>
        <w:pStyle w:val="NormalWeb"/>
        <w:numPr>
          <w:ilvl w:val="0"/>
          <w:numId w:val="2"/>
        </w:numPr>
        <w:spacing w:before="0" w:beforeAutospacing="0" w:after="0" w:afterAutospacing="0"/>
        <w:ind w:left="785"/>
        <w:jc w:val="both"/>
        <w:textAlignment w:val="baseline"/>
        <w:rPr>
          <w:color w:val="000000"/>
        </w:rPr>
      </w:pPr>
      <w:r>
        <w:rPr>
          <w:b/>
          <w:bCs/>
          <w:color w:val="000000"/>
        </w:rPr>
        <w:t>у разі проведення оцінювання особи, якій раніше було встановлено інвалідність (якщо група інвалідності та/чи відсоток втрати професійної працездатності</w:t>
      </w:r>
      <w:r>
        <w:rPr>
          <w:color w:val="000000"/>
        </w:rPr>
        <w:t xml:space="preserve"> </w:t>
      </w:r>
      <w:r>
        <w:rPr>
          <w:b/>
          <w:bCs/>
          <w:color w:val="000000"/>
        </w:rPr>
        <w:t>не змінюються і залишаються попередні)</w:t>
      </w:r>
      <w:r>
        <w:rPr>
          <w:color w:val="000000"/>
        </w:rPr>
        <w:t xml:space="preserve">, </w:t>
      </w:r>
      <w:r>
        <w:rPr>
          <w:color w:val="000000"/>
          <w:sz w:val="23"/>
          <w:szCs w:val="23"/>
          <w:shd w:val="clear" w:color="auto" w:fill="FFFFFF"/>
        </w:rPr>
        <w:t xml:space="preserve">у рішенні експертної команди датою </w:t>
      </w:r>
      <w:r>
        <w:rPr>
          <w:color w:val="000000"/>
          <w:sz w:val="23"/>
          <w:szCs w:val="23"/>
          <w:shd w:val="clear" w:color="auto" w:fill="FFFFFF"/>
        </w:rPr>
        <w:lastRenderedPageBreak/>
        <w:t>встановлення інвалідності зазначається дата, до якої було встановлено інвалідність за результатами останньої експертизи, але не більше ніж за 3 роки. При цьому в разі прийняття рішення про зміну (не встановлення) групи інвалідності датою зміни (не встановлення) групи інвалідності вважається дата прийняття рішення експертною командою;</w:t>
      </w:r>
    </w:p>
    <w:p w:rsidR="00B70A42" w:rsidRDefault="00B70A42" w:rsidP="00B70A42">
      <w:pPr>
        <w:pStyle w:val="NormalWeb"/>
        <w:numPr>
          <w:ilvl w:val="0"/>
          <w:numId w:val="2"/>
        </w:numPr>
        <w:spacing w:before="0" w:beforeAutospacing="0" w:after="0" w:afterAutospacing="0"/>
        <w:ind w:left="785"/>
        <w:jc w:val="both"/>
        <w:textAlignment w:val="baseline"/>
        <w:rPr>
          <w:color w:val="000000"/>
        </w:rPr>
      </w:pPr>
      <w:r>
        <w:rPr>
          <w:b/>
          <w:bCs/>
          <w:color w:val="000000"/>
          <w:sz w:val="23"/>
          <w:szCs w:val="23"/>
          <w:shd w:val="clear" w:color="auto" w:fill="FFFFFF"/>
        </w:rPr>
        <w:t>у разі проведення оцінювання особи, якій раніше було встановлено ступінь втрати професійної працездатності</w:t>
      </w:r>
      <w:r>
        <w:rPr>
          <w:color w:val="000000"/>
          <w:sz w:val="23"/>
          <w:szCs w:val="23"/>
          <w:shd w:val="clear" w:color="auto" w:fill="FFFFFF"/>
        </w:rPr>
        <w:t>, в рішенні експертної команди датою встановлення ступеня втрати професійної працездатності зазначається дата, до якої встановлено попередню ступінь втрати професійної працездатності. При цьому у разі прийняття рішення про зміну раніше встановленого ступеня втрати професійної працездатності датою зміни ступеня втрати професійної працездатності вважається дата прийняття рішення експертною командою. .</w:t>
      </w:r>
      <w:r>
        <w:rPr>
          <w:color w:val="000000"/>
        </w:rPr>
        <w:t> </w:t>
      </w:r>
    </w:p>
    <w:p w:rsidR="00B70A42" w:rsidRDefault="00B70A42" w:rsidP="00B70A42"/>
    <w:p w:rsidR="00B70A42" w:rsidRDefault="00B70A42" w:rsidP="00B70A42">
      <w:pPr>
        <w:pStyle w:val="NormalWeb"/>
        <w:spacing w:before="0" w:beforeAutospacing="0" w:after="0" w:afterAutospacing="0"/>
        <w:ind w:firstLine="720"/>
        <w:jc w:val="both"/>
      </w:pPr>
      <w:r>
        <w:rPr>
          <w:b/>
          <w:bCs/>
          <w:color w:val="000000"/>
        </w:rPr>
        <w:t>Проведення оцінювання особи, яка була направлена з метою необхідності встановлення інвалідності по досягненню дитиною з інвалідністю повноліття:</w:t>
      </w:r>
    </w:p>
    <w:p w:rsidR="00B70A42" w:rsidRDefault="00B70A42" w:rsidP="00B70A42">
      <w:pPr>
        <w:pStyle w:val="NormalWeb"/>
        <w:spacing w:before="0" w:beforeAutospacing="0" w:after="0" w:afterAutospacing="0"/>
        <w:ind w:firstLine="720"/>
        <w:jc w:val="both"/>
      </w:pPr>
      <w:r>
        <w:rPr>
          <w:b/>
          <w:bCs/>
          <w:color w:val="000000"/>
        </w:rPr>
        <w:t> </w:t>
      </w:r>
    </w:p>
    <w:p w:rsidR="00B70A42" w:rsidRDefault="00B70A42" w:rsidP="00B70A42">
      <w:pPr>
        <w:pStyle w:val="NormalWeb"/>
        <w:numPr>
          <w:ilvl w:val="0"/>
          <w:numId w:val="3"/>
        </w:numPr>
        <w:spacing w:before="0" w:beforeAutospacing="0" w:after="0" w:afterAutospacing="0"/>
        <w:ind w:left="785"/>
        <w:jc w:val="both"/>
        <w:textAlignment w:val="baseline"/>
        <w:rPr>
          <w:color w:val="000000"/>
        </w:rPr>
      </w:pPr>
      <w:r>
        <w:rPr>
          <w:color w:val="000000"/>
        </w:rPr>
        <w:t xml:space="preserve">у разі прийняття рішення про встановлення інвалідності із зазначенням причини інвалідності </w:t>
      </w:r>
      <w:r>
        <w:rPr>
          <w:b/>
          <w:bCs/>
          <w:color w:val="000000"/>
        </w:rPr>
        <w:t>“інвалідність з дитинства” датою встановлення інвалідності вважається дата направлення на проведення оцінювання</w:t>
      </w:r>
      <w:r>
        <w:rPr>
          <w:color w:val="000000"/>
        </w:rPr>
        <w:t>, але не раніше досягнення особою вісімнадцятирічного віку. </w:t>
      </w:r>
    </w:p>
    <w:p w:rsidR="00B70A42" w:rsidRDefault="00B70A42" w:rsidP="00B70A42">
      <w:pPr>
        <w:pStyle w:val="NormalWeb"/>
        <w:spacing w:before="0" w:beforeAutospacing="0" w:after="0" w:afterAutospacing="0"/>
        <w:ind w:firstLine="720"/>
        <w:jc w:val="both"/>
      </w:pPr>
      <w:r>
        <w:rPr>
          <w:color w:val="000000"/>
        </w:rPr>
        <w:t xml:space="preserve">Якщо оцінювання у даному випадку пропущено з поважної причини, </w:t>
      </w:r>
      <w:r>
        <w:rPr>
          <w:b/>
          <w:bCs/>
          <w:color w:val="000000"/>
        </w:rPr>
        <w:t>датою встановлення інвалідності вважається дата досягнення особою вісімнадцятирічного віку</w:t>
      </w:r>
      <w:r>
        <w:rPr>
          <w:color w:val="000000"/>
        </w:rPr>
        <w:t>, але лише у разі, коли минуло не більш як три роки, за умови, що за цей період її визнано особою з інвалідністю.</w:t>
      </w:r>
    </w:p>
    <w:p w:rsidR="00B70A42" w:rsidRDefault="00B70A42" w:rsidP="00B70A42">
      <w:r>
        <w:br/>
      </w:r>
    </w:p>
    <w:p w:rsidR="00B70A42" w:rsidRDefault="00B70A42" w:rsidP="00B70A42">
      <w:pPr>
        <w:pStyle w:val="NormalWeb"/>
        <w:numPr>
          <w:ilvl w:val="0"/>
          <w:numId w:val="4"/>
        </w:numPr>
        <w:spacing w:before="0" w:beforeAutospacing="0" w:after="0" w:afterAutospacing="0"/>
        <w:ind w:left="785"/>
        <w:jc w:val="both"/>
        <w:textAlignment w:val="baseline"/>
        <w:rPr>
          <w:color w:val="000000"/>
        </w:rPr>
      </w:pPr>
      <w:r>
        <w:rPr>
          <w:b/>
          <w:bCs/>
          <w:color w:val="000000"/>
        </w:rPr>
        <w:t xml:space="preserve">Важливо: </w:t>
      </w:r>
      <w:r>
        <w:rPr>
          <w:color w:val="000000"/>
        </w:rPr>
        <w:t xml:space="preserve">Дата </w:t>
      </w:r>
      <w:r>
        <w:rPr>
          <w:b/>
          <w:bCs/>
          <w:color w:val="000000"/>
        </w:rPr>
        <w:t>наступного повторного оцінювання</w:t>
      </w:r>
      <w:r>
        <w:rPr>
          <w:color w:val="000000"/>
        </w:rPr>
        <w:t xml:space="preserve"> відліковується </w:t>
      </w:r>
      <w:r>
        <w:rPr>
          <w:b/>
          <w:bCs/>
          <w:color w:val="000000"/>
        </w:rPr>
        <w:t>з дати направлення на оцінювання</w:t>
      </w:r>
      <w:r>
        <w:rPr>
          <w:color w:val="000000"/>
        </w:rPr>
        <w:t xml:space="preserve"> з урахуванням строку, на який встановлена інвалідність. </w:t>
      </w:r>
    </w:p>
    <w:p w:rsidR="00B70A42" w:rsidRDefault="00B70A42" w:rsidP="00B70A42">
      <w:pPr>
        <w:spacing w:after="240"/>
      </w:pPr>
      <w:r>
        <w:br/>
      </w:r>
    </w:p>
    <w:p w:rsidR="00B70A42" w:rsidRDefault="00B70A42" w:rsidP="00B70A42">
      <w:pPr>
        <w:pStyle w:val="NormalWeb"/>
        <w:spacing w:before="0" w:beforeAutospacing="0" w:after="0" w:afterAutospacing="0"/>
        <w:jc w:val="center"/>
      </w:pPr>
      <w:r>
        <w:rPr>
          <w:b/>
          <w:bCs/>
          <w:color w:val="000000"/>
        </w:rPr>
        <w:t>Встановлення причинного зв'язку інвалідності з ушкодженням здоров’я від вибухонебезпечних предметів, одержаним цивільною особою під час бойових дій</w:t>
      </w:r>
    </w:p>
    <w:p w:rsidR="00B70A42" w:rsidRDefault="00B70A42" w:rsidP="00B70A42">
      <w:pPr>
        <w:pStyle w:val="NormalWeb"/>
        <w:spacing w:before="0" w:beforeAutospacing="0" w:after="0" w:afterAutospacing="0"/>
        <w:jc w:val="center"/>
      </w:pPr>
      <w:r>
        <w:rPr>
          <w:b/>
          <w:bCs/>
          <w:color w:val="000000"/>
        </w:rPr>
        <w:t>на території України</w:t>
      </w:r>
    </w:p>
    <w:p w:rsidR="00B70A42" w:rsidRDefault="00B70A42" w:rsidP="00B70A42"/>
    <w:p w:rsidR="00B70A42" w:rsidRDefault="00B70A42" w:rsidP="00B70A42">
      <w:pPr>
        <w:pStyle w:val="NormalWeb"/>
        <w:spacing w:before="0" w:beforeAutospacing="0" w:after="0" w:afterAutospacing="0"/>
        <w:ind w:firstLine="720"/>
        <w:jc w:val="both"/>
      </w:pPr>
      <w:r>
        <w:rPr>
          <w:color w:val="000000"/>
        </w:rPr>
        <w:t>Цивільні особи, які зазнали ушкодження здоров’я від вибухонебезпечних предметів під час бойових дій на території України, інвалідність може бути встановлена з однієї з двох причин:</w:t>
      </w:r>
    </w:p>
    <w:p w:rsidR="00B70A42" w:rsidRDefault="00B70A42" w:rsidP="00B70A42">
      <w:pPr>
        <w:pStyle w:val="NormalWeb"/>
        <w:numPr>
          <w:ilvl w:val="0"/>
          <w:numId w:val="5"/>
        </w:numPr>
        <w:spacing w:before="0" w:beforeAutospacing="0" w:after="0" w:afterAutospacing="0"/>
        <w:ind w:left="1069"/>
        <w:jc w:val="both"/>
        <w:textAlignment w:val="baseline"/>
        <w:rPr>
          <w:color w:val="000000"/>
        </w:rPr>
      </w:pPr>
      <w:r>
        <w:rPr>
          <w:color w:val="000000"/>
        </w:rPr>
        <w:t>відповідно до Закону України «Про протимінну діяльність в Україні» цивільні особи, які постраждали від вибухонебезпечних предметів, інвалідність може бути встановлена унаслідок одержаних на території України ушкоджень здоров’я, спричинених вибухонебезпечними предметами, визначеними пунктом 1 частини першої статті 1 Закону України «Про протимінну діяльність в Україні».</w:t>
      </w:r>
    </w:p>
    <w:p w:rsidR="00B70A42" w:rsidRDefault="00B70A42" w:rsidP="00B70A42"/>
    <w:p w:rsidR="00B70A42" w:rsidRDefault="00B70A42" w:rsidP="00B70A42">
      <w:pPr>
        <w:pStyle w:val="NormalWeb"/>
        <w:spacing w:before="0" w:beforeAutospacing="0" w:after="0" w:afterAutospacing="0"/>
        <w:ind w:firstLine="720"/>
        <w:jc w:val="both"/>
      </w:pPr>
      <w:r>
        <w:rPr>
          <w:color w:val="000000"/>
        </w:rPr>
        <w:t>Така причина інвалідності встановлюється експертними командами на підставі витягу з Єдиного реєстру досудових розслідувань про відкриття кримінального провадження стосовно факту одержання постраждалою особою поранення чи інших ушкоджень здоров’я від вибухонебезпечних предметів;</w:t>
      </w:r>
    </w:p>
    <w:p w:rsidR="00B70A42" w:rsidRDefault="00B70A42" w:rsidP="00B70A42">
      <w:pPr>
        <w:pStyle w:val="NormalWeb"/>
        <w:numPr>
          <w:ilvl w:val="0"/>
          <w:numId w:val="6"/>
        </w:numPr>
        <w:spacing w:before="0" w:beforeAutospacing="0" w:after="0" w:afterAutospacing="0"/>
        <w:ind w:left="1069"/>
        <w:jc w:val="both"/>
        <w:textAlignment w:val="baseline"/>
        <w:rPr>
          <w:color w:val="000000"/>
          <w:sz w:val="20"/>
          <w:szCs w:val="20"/>
        </w:rPr>
      </w:pPr>
      <w:r>
        <w:rPr>
          <w:color w:val="000000"/>
        </w:rPr>
        <w:t>відповідно до статті 7 Закону України «Про статус ветеранів війни, гарантії їх соціального захисту» цивільні особи, які отримали поранення або інші ушкодження здоров’я, одержані від вибухових речовин у період з 24 лютого 2022 року на території проведення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інвалідність може бути встановлена з причини інвалідності “поранення чи інші ушкодження здоров’я одержані під час антитерористичної операції або заходів проти військової агресії Російської Федерації проти України</w:t>
      </w:r>
      <w:r>
        <w:rPr>
          <w:color w:val="333333"/>
        </w:rPr>
        <w:t>”</w:t>
      </w:r>
      <w:r>
        <w:rPr>
          <w:color w:val="000000"/>
        </w:rPr>
        <w:t>, яка відноситься до категорії «інвалідність внаслідок війни».</w:t>
      </w:r>
    </w:p>
    <w:p w:rsidR="00B70A42" w:rsidRDefault="00B70A42" w:rsidP="00B70A42">
      <w:pPr>
        <w:pStyle w:val="NormalWeb"/>
        <w:spacing w:before="0" w:beforeAutospacing="0" w:after="0" w:afterAutospacing="0"/>
        <w:ind w:firstLine="720"/>
        <w:jc w:val="both"/>
      </w:pPr>
      <w:r>
        <w:rPr>
          <w:color w:val="000000"/>
        </w:rPr>
        <w:t>Така причина інвалідності встановлюється експертними командами відповідно до постанови Кабінету Міністрів України від 25 квітня 2018 року № 306 «Деякі питання встановлення зв’язку інвалідності з пораненнями чи іншими ушкодженнями здоров’я» на підставі рішення міжвідомчої комісії з питань встановлення факту отримання особами поранень чи інших ушкоджень здоров’я, одержаних від вибухових предметів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на підставі висновку Міжвідомчої комісії, яка працює при Міністерстві у справах ветеранів України. Положення про діяльність Міжвідомчої комісії, інформація про перелік документів, які подається на розгляд міжвідомчої комісії, та її засідання розміщено на вебсайті Мінветеранів. </w:t>
      </w:r>
    </w:p>
    <w:p w:rsidR="00B70A42" w:rsidRDefault="00B70A42" w:rsidP="00B70A42">
      <w:pPr>
        <w:pStyle w:val="NormalWeb"/>
        <w:spacing w:before="240" w:beforeAutospacing="0" w:after="240" w:afterAutospacing="0"/>
        <w:ind w:firstLine="720"/>
        <w:jc w:val="both"/>
      </w:pPr>
      <w:r>
        <w:rPr>
          <w:color w:val="000000"/>
        </w:rPr>
        <w:t xml:space="preserve">Тобто, у разі наявності відповідно вказаних вище документів причинно-наслідкового зв'язку, особа має право на вибір однієї з таких причин інвалідності. У разі відсутності будь-яких документів, експертна команда приймає рішення про встановлення інвалідності з причиною “загальне захворювання” та надає особі роз'яснення щодо подальших її дій. </w:t>
      </w:r>
    </w:p>
    <w:p w:rsidR="001B7B08" w:rsidRDefault="001B7B08"/>
    <w:sectPr w:rsidR="001B7B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1EF"/>
    <w:multiLevelType w:val="multilevel"/>
    <w:tmpl w:val="DAF6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13459"/>
    <w:multiLevelType w:val="multilevel"/>
    <w:tmpl w:val="F376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51544"/>
    <w:multiLevelType w:val="multilevel"/>
    <w:tmpl w:val="29A6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74129"/>
    <w:multiLevelType w:val="multilevel"/>
    <w:tmpl w:val="08282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C1AF8"/>
    <w:multiLevelType w:val="multilevel"/>
    <w:tmpl w:val="B0AC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F641AB"/>
    <w:multiLevelType w:val="multilevel"/>
    <w:tmpl w:val="03D6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A42"/>
    <w:rsid w:val="001B7B08"/>
    <w:rsid w:val="003853D9"/>
    <w:rsid w:val="004E384B"/>
    <w:rsid w:val="008D2E0F"/>
    <w:rsid w:val="00B70A42"/>
    <w:rsid w:val="00CB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74950B4-566C-4D4D-B195-73A9E469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uk-UA" w:eastAsia="uk-U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B70A42"/>
    <w:pPr>
      <w:spacing w:before="100" w:beforeAutospacing="1" w:after="100" w:afterAutospacing="1"/>
    </w:pPr>
  </w:style>
  <w:style w:type="character" w:customStyle="1" w:styleId="apple-tab-span">
    <w:name w:val="apple-tab-span"/>
    <w:basedOn w:val="DefaultParagraphFont"/>
    <w:rsid w:val="00B70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3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7149</Characters>
  <Application>Microsoft Office Word</Application>
  <DocSecurity>4</DocSecurity>
  <Lines>59</Lines>
  <Paragraphs>16</Paragraphs>
  <ScaleCrop>false</ScaleCrop>
  <HeadingPairs>
    <vt:vector size="2" baseType="variant">
      <vt:variant>
        <vt:lpstr>Название</vt:lpstr>
      </vt:variant>
      <vt:variant>
        <vt:i4>1</vt:i4>
      </vt:variant>
    </vt:vector>
  </HeadingPairs>
  <TitlesOfParts>
    <vt:vector size="1" baseType="lpstr">
      <vt:lpstr>Роз’яснення щодо строків встановлення та визначення дати, з якої встановлена інвалідність та/чи відсоток втрати професійної працездатності особам, </vt:lpstr>
    </vt:vector>
  </TitlesOfParts>
  <Company>RePack by SPecialiST</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Роз’яснення щодо строків встановлення та визначення дати, з якої встановлена інвалідність та/чи відсоток втрати професійної працездатності особам, </dc:title>
  <dc:subject/>
  <dc:creator>Сергійчук</dc:creator>
  <cp:keywords/>
  <dc:description/>
  <cp:lastModifiedBy>word</cp:lastModifiedBy>
  <cp:revision>2</cp:revision>
  <dcterms:created xsi:type="dcterms:W3CDTF">2025-04-15T05:41:00Z</dcterms:created>
  <dcterms:modified xsi:type="dcterms:W3CDTF">2025-04-15T05:41:00Z</dcterms:modified>
</cp:coreProperties>
</file>